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auto"/>
          <w:sz w:val="24"/>
          <w:szCs w:val="24"/>
          <w:highlight w:val="none"/>
        </w:rPr>
      </w:pPr>
      <w:bookmarkStart w:id="35" w:name="_GoBack"/>
      <w:r>
        <w:rPr>
          <w:rFonts w:hint="eastAsia" w:ascii="宋体" w:hAnsi="宋体" w:cs="宋体"/>
          <w:b/>
          <w:bCs/>
          <w:color w:val="auto"/>
          <w:sz w:val="24"/>
          <w:szCs w:val="24"/>
          <w:highlight w:val="none"/>
        </w:rPr>
        <w:t>300章 通信设施</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TS301  通信系统概述</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通信系统主要是为高速公路运营管理及监控、收费系统提供必要的话音业务及数据、图像传输通道。通信系统采用路段内PTN传输系统形成一套完善的通信系统。</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TS301.1  系统目标</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本项目通信系统设计目标为：</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1、为高速公路全线运营管理及监控、收费系统的数据传输及视频传输提供不间断通信服务。</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2、采用路段内PTN传输设备，组建语音、数据和视频于一体的数字通信网。</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3、系统软硬件具有自我诊断能力，并有冗余功能。</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TS301.2  系统结构</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本项目拟采用三级管理体制：省中心（设在合肥，不在本项目设计范围）—路段通信中心（设在茶岭互通，不在本项目设计范围）—无人站。</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根据运营管理体制要求，本项目由茶岭路段通信中心（不在本项目范围内，属有人值守光通信站），</w:t>
      </w:r>
      <w:r>
        <w:rPr>
          <w:rFonts w:hint="eastAsia" w:ascii="宋体" w:hAnsi="宋体" w:cs="宋体"/>
          <w:color w:val="auto"/>
          <w:sz w:val="24"/>
          <w:szCs w:val="24"/>
          <w:highlight w:val="none"/>
        </w:rPr>
        <w:t>对所属区域范围的语音、收费及监控数据等通信业务进行管理。</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TS301.3  系统构成</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本项目通信系统应包括下面几个主要组成部分：</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pacing w:val="6"/>
          <w:sz w:val="24"/>
          <w:szCs w:val="24"/>
          <w:highlight w:val="none"/>
        </w:rPr>
        <w:t>PTN传输</w:t>
      </w:r>
      <w:r>
        <w:rPr>
          <w:rFonts w:hint="eastAsia" w:ascii="宋体" w:hAnsi="宋体" w:cs="宋体"/>
          <w:color w:val="auto"/>
          <w:sz w:val="24"/>
          <w:szCs w:val="24"/>
          <w:highlight w:val="none"/>
        </w:rPr>
        <w:t>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2、语音交换系统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3、光、电缆工程</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4、通信电源系统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5、网络租用</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TS301.4  工程范围</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本项目通信系统工程包括以下几个部分：</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1、光缆。包括主线敷设主干通信光缆、主干监控光缆、ETC门架系统光缆及尾缆（详见清单）、通信系统所需的以及按界面划分由通信系统提供的所有尾纤。</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2、电缆。包括通信系统所需的以及按界面划分由通信系统提供的所有电缆及各类接头。</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3、潜山收费站、独秀山收费站光网络单元ONU等通信设备的供货、安装、调试、测试、开通、试运行、人员培训等。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4、潜山收费站、独秀山收费站站部直传主链路、站部直传备用链路的租赁、开通。</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5、全线业务电话、指令电话的供货、安装、调试、测试、开通、试运行、人员培训等。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6、全线各通信站电源设备的供货、安装、调试、测试、开通、试运行、人员培训等。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7、为构成本通信系统，与相邻各有关路段通信站网必须配合建设的工程。</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TS301.5  界面划分</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通信系统承包人应本着真诚、友好、合作的精神，协调与其他承包人的工作。</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通信系统承包人与其他系统承包人的界面划分详见“技术规范”第一册“总则”的TS101.3条款。</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TS302  通信传输系统</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TS302.1  PTN传输系统概述</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收费站至省联网中心应建立稳定、可靠的通信链路，确保交易数据、稽核数据和监测数据等实时上传以及MTC车辆通行费的快速计算及查询，通信链路亦采用主备链路。其中主链路为PTN网络。</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路段内PTN传输系统为沿线设施之间的监控、收费系统的数据及语音业务提供传输通道。本项目干线网和接入网系统速率按10GE等级PTN系统配置。</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根据项目管理规划，由茶岭路段通信中心（不在本项目范围内，属有人值守光通信站），对所属区域范围的语音、收费及监控数据等通信业务进行管理。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本项目全线共设置无人通信站2处：K14+620独秀山收费站通信站、K29+600潜山收费站通信站。</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本系统承包人应完成本项目沿线新增无人通信站内PTN传输等设备及辅材的采购、安装、调试以及其他相关工作。</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TS302.2  工程范围</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1、潜山收费站、独秀山收费站通信站光网络单元ONU设备（含ODF/MDF/EDF、10/100/1000Mb/s以太网板、开关电源、RS-232/RS-485转以太网协议转换器、蓄电池组等）1套；</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2、按照通信组织进行业务的调整及调试；</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3、完成本系统所需的其它所有材料及工作。</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TS302.3  系统配置</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1、传输系统配置</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PTN传输系统主要设备由以下几部分组成：</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（1）干线网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本项目不设置干线传输设备，仅为相邻路段干线联网预留相应数量的光纤。通过与本项目同期计划施工的相邻路段S22天天高速安庆至潜山段（凉亭至月山）茶岭路段中心现有的干线传输设备与相邻的路段连接。</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（2）综合业务接入网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综合业务接入网采用10GE等级的PTN分组传输系统。在潜山收费站、独秀山收费站2处设置无人通信站，配置光纤网络单元(ONU)，与S22天天高速安庆至潜山段（凉亭至月山）沿线各通信站共同组成10GE等级双纤自愈环网，接入凉亭至月山段茶岭路段中心设置的光线路终端OLT（不在本项目范围），为沿线语音、数据、图像业务提供传输通道。</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（3）本项目各利用茶岭路段中心计划设置的PTN网管系统（不在本项目范围），对各通信节点进行统一管理。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（4）投标人在投标文件的技术建议书（该建议书含在施工组织设计里）中，必须给出传输系统的详细配置清单。</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2、电源及配线架系统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电源</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在各无人通信站安装高频开关电源及相应的蓄电池组，为接入网设备提供-48V直流电源。沿线的接入网设备采用自带直流电源方式供电。详见清单。</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通信站配线设备</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本工程在潜山收费站、独秀山收费站各配置一套432芯容量的光配线单元。</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在各无人通信站配置24芯以太网配线模块。</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本项目通信站ODF与EDF配线模块采用混合配线柜。</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ODF光连接器应为FC/PC型，指标要求如下：</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 xml:space="preserve">连接衰减：≤0.5dB </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反射损耗：≥40dB</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连接器寿命：插拔1000次仍能满足性能要求</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尾纤和软纤的2m截止波长必须符合：λc≤1240nm</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光配线架应有护板，尾纤应有收容盒。</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TS302.4  PTN传输系统指标</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1、系统配置</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(1)总体要求</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接入层设备（ONU/OLT）：PTN设备交换容量不低于160Gbps；背板容量不低于160Gbps；包转发率不低于130Mpps；设备支持不少于16个10GE端口接入；不少于48个GE端口接入；不少于48个FE端口接入；不少于80个E1接口，支持STM-1业务接入，设备可平滑升级到40G等级。</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设备的交换容量满足工程要求，整机满配置下无阻塞交换。</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设备支持各种拓扑组网能力：环形、环带链、环相交、环相切、MESH组网。</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网络支持TDM、以太等多种业务的综合承载，实现用户业务综合接入。</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业务在网络中应采用通道（PW伪线）、路径（LSP）的方式传送，保证网络流量可规划，保证业务QoS、时延、抖动等指标。</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应保证所有的路径/通道保护倒换时间小于50ms。</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数据业务在整个网络的时延要小于5ms，时延变化小于1ms，丢包率承诺速率下小于0.001%</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支持时钟（频率）、时间同步功能。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采用电信级网管TMN实现图形界面方式管理，网管应实现网络拓扑、业务端到端配置/查询、端到端路径/通道的告警和性能监控/管理。</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具备无业务中断的软件升级能力。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设备网管系统及网元配置、所承载业务均需支持IPV4及IPV6协议。</w:t>
      </w:r>
    </w:p>
    <w:p>
      <w:pPr>
        <w:spacing w:after="72" w:line="360" w:lineRule="auto"/>
        <w:ind w:firstLine="480" w:firstLineChars="200"/>
        <w:rPr>
          <w:rFonts w:ascii="宋体" w:hAnsi="宋体" w:cs="宋体"/>
          <w:color w:val="auto"/>
          <w:sz w:val="24"/>
          <w:szCs w:val="24"/>
          <w:highlight w:val="none"/>
        </w:rPr>
      </w:pPr>
      <w:bookmarkStart w:id="0" w:name="_Toc231100337"/>
      <w:bookmarkStart w:id="1" w:name="_Toc224914829"/>
      <w:bookmarkStart w:id="2" w:name="_Toc220300861"/>
      <w:bookmarkStart w:id="3" w:name="_Toc231100331"/>
      <w:r>
        <w:rPr>
          <w:rFonts w:ascii="宋体" w:hAnsi="宋体" w:cs="宋体"/>
          <w:color w:val="auto"/>
          <w:sz w:val="24"/>
          <w:szCs w:val="24"/>
          <w:highlight w:val="none"/>
        </w:rPr>
        <w:pict>
          <v:shape id="DtsShapeName" o:spid="_x0000_s1029" o:spt="74" alt="50403CG990G@54GG9GG5D355@28222C9082?;=82?&lt;&gt;kxr201519017BIHO@]o73294!!!!!!!!!!1111G0G@@G45G衙缉!Lhbsnrngu!Vnse!吓创/enb!!!!!!!!!!!!!!!!!!!!!!!!!!!!!!!!!!!!!!!!!!!!!!!!!!!!!!!!!!!!!!!!!!!!!!!!!!!!!!!!!!!!!!!!!!!!!!!!!!!!!!!!!!!!!!!!!!!!!!!!!!!!!!!!!!!!!!!!!!!!!!!!!!!!!!!!!!!!!!!!!!!!!!!!!!!!!!!!!!!!!!!!!!!!!!!!!!!!!!!!!!!!!!!!!!!!!!!!!!!!!!!!!!!!!!!!!!!!!!!!!!!!!!!!!!!!!!!!!!!!!!!!!!!!!!!!!!!!!!!!!!!!!!!!!!!!!!!!!!!!!!!!!!!!!!!!!!!!!!!!!!!!!!!!!!!!!!!!!!!!!!!!!!!!!!!!!!!!!!!!!!!!!!!!!!!!!!!!!!!!!!!!!!!!!!!!!!!!!!!!!!!!!!!!!!!!!!!!!!!!!!!!!!!!!!!!!!!!!!!!!!!!!!!!!!!!!!!!!!!!!!!!!!!!!!!!!!!!!!!!!!!!!!!!!!!!!!!!!!!!!!!!!!!!!!!!!!!!!!!!!!!!!!!!!!!!!!!!!!!!!!!!!!!!!!!!!!!!!!!!!!!!!!!!!!!!!!!!!!!!!!!!!!!!!!!!!!!!!!!!!!!!!!!!!!!!!!!!!!!!!!!!!!!!!!!!!!!!!!!!!!!!!!!!!!!!!!!!!!!!!!!!!!!!!!!!!!!!!!!!!!!!!!!!!!!!!!!!!!!!!!!!!!!!!!!!!!!!!!!!!!!!!!!!!!!!!!!!!!!!!!!!!!!!!!!!!!!!!!!!!!!!!!!!!!!!!!!!!!!!!!!!!!!!!!!!!!!!!!!!!!!!!!!!!!!!!!!!!!!!!!!!!!!!!!!!!!!!!!!!!!!!!!!!!!!!!!!!!!!!!!!!!!!!!!!!!!!!!!!!!!!!!!!!!!!!!!!!!!!!!!!!!!!!!!!!!!!!!!!!!!!!!!!!!!!!!!!!!!!!!!!!!!!!!!!!!!!!!!!!!!!!!!!!!!!!!!!!!!!!!!!!!!!!!!!!!!!!!!!!!!!!!!!!!!!!!!!!!!!!!!!!!!!!!!!!!!!!!!!!!!!!!!!!!!!!!!!!!!!!!!!!!!!!!!!!!!!!!!!!!!!!!!!!!!!!!!!!!!!!!!!!!!!!!!!!!!!!!!!!!!!!!!!!!!!!!!!!!!!!!!!!!!!!!!!!!!!!!!!!!!!!!!!!!!!!!!!!!!!!!!!!!!!!!!!!!!!!!!!!!!!!!!!!!!!!!!!!!!!!!!!!!!!!!!!!!!!!!!!!!!!!!!!!!!!!!!!!!!!!!!!!!!!!!!!!!!!!!!!!!!!!!!!!!!!!!!!!!!!!!!!!!!!!!!!!!!!!!!!!!!!!!!!!!!!!!!!!!!!!!!!!!!!!!!!!!!!!!!!!!!!!!!!!!!!!!!!!!!!!!!!!!!!!!!!!!!!!!!!!!!!!!!!!!!!!!!!!!!!!!!!!!!!!!!!!!!!!!!!!!!!!!!!!!!!!!!!!!!!!!!!!!!!!!!!!!!!!!!!!!!!!!!!!!!!!!!!!!!!!!!!!!!!!!!!!!!!!!!!!!!!!!!!!!!!!!!!!!!!!!!!!!!!!!!!!!!!!!!!!!!!!!!!!!!!!!!!!!!!!!!!!!!!!!!!!!!!!!!!!!!!!!!!!!!!!!!!!!!!!!!!!!!!!!!!!!!!!!!!!!!!!!!!!!!!!!!!!!!!!!!!!!!!!!!!!!!!!!!!!!!!!!!!!!!!!!!!!!!!!!!!!!!!!!!!!!!!!!!!!!!!!!!!!!!!!!!!!!!!!!!!!!!!!!!!!!!!!!!!!!!!!!!!!!!!!!!!!!!!!!!!!!!!!!!!!!!!!!!!!!!!!!!!!!!!!!!!!!!!!!!!!!!!!!!!!!!!!!!!!!!!!!!!!!!!!!!!!!!!!!!!!!!!!!!!!!!!!!!!!!!!!!!!!!!!!!!!!!!!!!!!!!!!!!!!!!!!!!!!!!!!!!!!!!!!!!!!!!!!!!!!!!!!!!!!!!!!!!!!!!!!!!!!!!!!!!!!!!!!!!!!!!!!!!!!!!!!!!!!!!!!!!!!!!!!!!!!!!!!!!!!!!!!!!!!!!!!!!!!!!!!!!!!!!!!!!!!!!!!!!!!!!!!!!!!!!!!!!!!!!!!!!!!!!!!!!!!!!!!!!!!!!!!!!!!!!!!!!!!!!!!!!!!!!!!!!!!!!!!!!!!!!!!!!!!!!!!!!!!!!!!!!!!!!!!!!!!!!!!!!!!!!!!!!!!!!!!!!!!!!!!!!!!!!!!!!!!!!!!!!!!!!!!!!!!!!!!!!!!!!!!!!!!!!!!!!!!!!!!!!!!!!!!!!!!!!!!!!!!!!!!!!!!!!!!!!!!!!!!!!!!!!!!!!!!!!!!!!!!!!!!!!!!!!!!!!!!1!n" type="#_x0000_t74" style="position:absolute;left:0pt;margin-left:0pt;margin-top:0pt;height:0.05pt;width:0.05pt;visibility:hidden;z-index:251659264;mso-width-relative:page;mso-height-relative:page;" coordsize="21600,21600">
            <v:path/>
            <v:fill focussize="0,0"/>
            <v:stroke miterlimit="2"/>
            <v:imagedata o:title=""/>
            <o:lock v:ext="edit"/>
            <v:textbox>
              <w:txbxContent>
                <w:p/>
              </w:txbxContent>
            </v:textbox>
            <w10:anchorlock/>
          </v:shape>
        </w:pict>
      </w:r>
      <w:r>
        <w:rPr>
          <w:rFonts w:hint="eastAsia" w:ascii="宋体" w:hAnsi="宋体" w:cs="宋体"/>
          <w:color w:val="auto"/>
          <w:sz w:val="24"/>
          <w:szCs w:val="24"/>
          <w:highlight w:val="none"/>
        </w:rPr>
        <w:t>(2)保护倒换要求</w:t>
      </w:r>
      <w:bookmarkEnd w:id="0"/>
      <w:bookmarkEnd w:id="1"/>
    </w:p>
    <w:bookmarkEnd w:id="2"/>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①网络级保护</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必须提供电信级的保护功能，故障切换时间不超过50ms。</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保护机制必须确保各种业务的服务质量仍然维持不变。</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保护切换时间不受业务量的限制。</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保护机制必须确保不发生广播风暴。</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提供多点故障的保护能力。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保护机制的设置必须简单，避免命令行操作。</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支持路径（LSP）保护能力，包括MPLS/MPLS-TP LSP1+1/1：1保护。</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支持环形复用段保护，RPR保护，VP-Ring/VC-Ring保护、支持线性复用段保护等主流的网络保护功能。设备支持主要部件的1+1备份保护。</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设备以太网接口支持链路聚合（LAG）保护，LAG具备跨板卡的链路聚合保护能力。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设备最大支持的链路聚合保护组不少于64个保护组，每个链路聚合保护组成员最大数量应不少于4个。</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设备支持快速重路由保护，业务恢复时间不超过50ms。</w:t>
      </w:r>
    </w:p>
    <w:p>
      <w:pPr>
        <w:spacing w:after="72" w:line="360" w:lineRule="auto"/>
        <w:ind w:firstLine="480" w:firstLineChars="200"/>
        <w:rPr>
          <w:rFonts w:ascii="宋体" w:hAnsi="宋体" w:cs="宋体"/>
          <w:color w:val="auto"/>
          <w:sz w:val="24"/>
          <w:szCs w:val="24"/>
          <w:highlight w:val="none"/>
        </w:rPr>
      </w:pPr>
      <w:bookmarkStart w:id="4" w:name="_Toc220300882"/>
      <w:r>
        <w:rPr>
          <w:rFonts w:hint="eastAsia" w:ascii="宋体" w:hAnsi="宋体" w:cs="宋体"/>
          <w:color w:val="auto"/>
          <w:sz w:val="24"/>
          <w:szCs w:val="24"/>
          <w:highlight w:val="none"/>
        </w:rPr>
        <w:t>②设备级保护能力</w:t>
      </w:r>
      <w:bookmarkEnd w:id="4"/>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支持主要功能模块的1＋1冗余备份能力，主要功能模块应包括：电源，交换单元，时钟，主控单元。</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设备带电进行其他槽位板卡的热插拔维护操作，不影响已有业务。</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设备的E1处理单元支持支路保护倒换TPS能力。</w:t>
      </w:r>
    </w:p>
    <w:p>
      <w:pPr>
        <w:spacing w:after="72" w:line="360" w:lineRule="auto"/>
        <w:ind w:firstLine="480" w:firstLineChars="200"/>
        <w:rPr>
          <w:rFonts w:ascii="宋体" w:hAnsi="宋体" w:cs="宋体"/>
          <w:color w:val="auto"/>
          <w:sz w:val="24"/>
          <w:szCs w:val="24"/>
          <w:highlight w:val="none"/>
        </w:rPr>
      </w:pPr>
      <w:bookmarkStart w:id="5" w:name="_Toc266449409"/>
      <w:r>
        <w:rPr>
          <w:rFonts w:hint="eastAsia" w:ascii="宋体" w:hAnsi="宋体" w:cs="宋体"/>
          <w:color w:val="auto"/>
          <w:sz w:val="24"/>
          <w:szCs w:val="24"/>
          <w:highlight w:val="none"/>
        </w:rPr>
        <w:t>(3)性能要求</w:t>
      </w:r>
      <w:bookmarkEnd w:id="5"/>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①设备的误码性能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单个设备在规定条件范围下工作时，自环连续测试24小时应无误码。</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②关键参数检验准则</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要求设备提供多种OAM机制，支持MPLS/MPLS-TP、以太网OAM 、以太网链路OAM、BFD管理机制，由投标厂家提供连续信号丢失（LOC）、帧丢失测量（LM）、时延测量（DM）的功能和检验准则。</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③设备的告警功能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设备的告警功能应符合ITU-T建议G.782、G.783、G.784的要求。</w:t>
      </w:r>
    </w:p>
    <w:p>
      <w:pPr>
        <w:spacing w:after="72" w:line="360" w:lineRule="auto"/>
        <w:ind w:firstLine="480" w:firstLineChars="200"/>
        <w:rPr>
          <w:rFonts w:ascii="宋体" w:hAnsi="宋体" w:cs="宋体"/>
          <w:color w:val="auto"/>
          <w:sz w:val="24"/>
          <w:szCs w:val="24"/>
          <w:highlight w:val="none"/>
        </w:rPr>
      </w:pPr>
      <w:bookmarkStart w:id="6" w:name="_Toc231100338"/>
      <w:bookmarkStart w:id="7" w:name="_Toc224914830"/>
      <w:bookmarkStart w:id="8" w:name="_Toc224805928"/>
      <w:r>
        <w:rPr>
          <w:rFonts w:ascii="宋体" w:hAnsi="宋体" w:cs="宋体"/>
          <w:color w:val="auto"/>
          <w:sz w:val="24"/>
          <w:szCs w:val="24"/>
          <w:highlight w:val="none"/>
        </w:rPr>
        <w:pict>
          <v:shape id="Heart 1027" o:spid="_x0000_s1030" o:spt="74" alt="50403CG990G@54GG9GG5D355@28222C9082?;=82?&lt;&gt;kxr201519017BIHO@]o73294!!!!!!!!!!1111G0G@@G45G衙缉!Lhbsnrngu!Vnse!吓创/enb!!!!!!!!!!!!!!!!!!!!!!!!!!!!!!!!!!!!!!!!!!!!!!!!!!!!!!!!!!!!!!!!!!!!!!!!!!!!!!!!!!!!!!!!!!!!!!!!!!!!!!!!!!!!!!!!!!!!!!!!!!!!!!!!!!!!!!!!!!!!!!!!!!!!!!!!!!!!!!!!!!!!!!!!!!!!!!!!!!!!!!!!!!!!!!!!!!!!!!!!!!!!!!!!!!!!!!!!!!!!!!!!!!!!!!!!!!!!!!!!!!!!!!!!!!!!!!!!!!!!!!!!!!!!!!!!!!!!!!!!!!!!!!!!!!!!!!!!!!!!!!!!!!!!!!!!!!!!!!!!!!!!!!!!!!!!!!!!!!!!!!!!!!!!!!!!!!!!!!!!!!!!!!!!!!!!!!!!!!!!!!!!!!!!!!!!!!!!!!!!!!!!!!!!!!!!!!!!!!!!!!!!!!!!!!!!!!!!!!!!!!!!!!!!!!!!!!!!!!!!!!!!!!!!!!!!!!!!!!!!!!!!!!!!!!!!!!!!!!!!!!!!!!!!!!!!!!!!!!!!!!!!!!!!!!!!!!!!!!!!!!!!!!!!!!!!!!!!!!!!!!!!!!!!!!!!!!!!!!!!!!!!!!!!!!!!!!!!!!!!!!!!!!!!!!!!!!!!!!!!!!!!!!!!!!!!!!!!!!!!!!!!!!!!!!!!!!!!!!!!!!!!!!!!!!!!!!!!!!!!!!!!!!!!!!!!!!!!!!!!!!!!!!!!!!!!!!!!!!!!!!!!!!!!!!!!!!!!!!!!!!!!!!!!!!!!!!!!!!!!!!!!!!!!!!!!!!!!!!!!!!!!!!!!!!!!!!!!!!!!!!!!!!!!!!!!!!!!!!!!!!!!!!!!!!!!!!!!!!!!!!!!!!!!!!!!!!!!!!!!!!!!!!!!!!!!!!!!!!!!!!!!!!!!!!!!!!!!!!!!!!!!!!!!!!!!!!!!!!!!!!!!!!!!!!!!!!!!!!!!!!!!!!!!!!!!!!!!!!!!!!!!!!!!!!!!!!!!!!!!!!!!!!!!!!!!!!!!!!!!!!!!!!!!!!!!!!!!!!!!!!!!!!!!!!!!!!!!!!!!!!!!!!!!!!!!!!!!!!!!!!!!!!!!!!!!!!!!!!!!!!!!!!!!!!!!!!!!!!!!!!!!!!!!!!!!!!!!!!!!!!!!!!!!!!!!!!!!!!!!!!!!!!!!!!!!!!!!!!!!!!!!!!!!!!!!!!!!!!!!!!!!!!!!!!!!!!!!!!!!!!!!!!!!!!!!!!!!!!!!!!!!!!!!!!!!!!!!!!!!!!!!!!!!!!!!!!!!!!!!!!!!!!!!!!!!!!!!!!!!!!!!!!!!!!!!!!!!!!!!!!!!!!!!!!!!!!!!!!!!!!!!!!!!!!!!!!!!!!!!!!!!!!!!!!!!!!!!!!!!!!!!!!!!!!!!!!!!!!!!!!!!!!!!!!!!!!!!!!!!!!!!!!!!!!!!!!!!!!!!!!!!!!!!!!!!!!!!!!!!!!!!!!!!!!!!!!!!!!!!!!!!!!!!!!!!!!!!!!!!!!!!!!!!!!!!!!!!!!!!!!!!!!!!!!!!!!!!!!!!!!!!!!!!!!!!!!!!!!!!!!!!!!!!!!!!!!!!!!!!!!!!!!!!!!!!!!!!!!!!!!!!!!!!!!!!!!!!!!!!!!!!!!!!!!!!!!!!!!!!!!!!!!!!!!!!!!!!!!!!!!!!!!!!!!!!!!!!!!!!!!!!!!!!!!!!!!!!!!!!!!!!!!!!!!!!!!!!!!!!!!!!!!!!!!!!!!!!!!!!!!!!!!!!!!!!!!!!!!!!!!!!!!!!!!!!!!!!!!!!!!!!!!!!!!!!!!!!!!!!!!!!!!!!!!!!!!!!!!!!!!!!!!!!!!!!!!!!!!!!!!!!!!!!!!!!!!!!!!!!!!!!!!!!!!!!!!!!!!!!!!!!!!!!!!!!!!!!!!!!!!!!!!!!!!!!!!!!!!!!!!!!!!!!!!!!!!!!!!!!!!!!!!!!!!!!!!!!!!!!!!!!!!!!!!!!!!!!!!!!!!!!!!!!!!!!!!!!!!!!!!!!!!!!!!!!!!!!!!!!!!!!!!!!!!!!!!!!!!!!!!!!!!!!!!!!!!!!!!!!!!!!!!!!!!!!!!!!!!!!!!!!!!!!!!!!!!!!!!!!!!!!!!!!!!!!!!!!!!!!!!!!!!!!!!!!!!!!!!!!!!!!!!!!!!!!!!!!!!!!!!!!!!!!!!!!!!!!!!!!!!!!!!!!!!!!!!!!!!!!!!!!!!!!!!!!!!!!!!!!!!!!!!!!!!!!!!!!!!!!!!!!!!!!!!!!!!!!!!!!!!!!!!!!!!!!!!!!!!!!!!!!!!!!!!!!!!!!!!!!!!!!!!!!!!!!!!!!!!!!!!!!!!!!!!!!!!!!!!!!!!!!!!!!!!!!!!!1!n" type="#_x0000_t74" style="position:absolute;left:0pt;margin-left:0pt;margin-top:0pt;height:0.05pt;width:0.05pt;visibility:hidden;z-index:251660288;mso-width-relative:page;mso-height-relative:page;" coordsize="21600,21600">
            <v:path/>
            <v:fill focussize="0,0"/>
            <v:stroke miterlimit="2"/>
            <v:imagedata o:title=""/>
            <o:lock v:ext="edit"/>
            <v:textbox>
              <w:txbxContent>
                <w:p/>
              </w:txbxContent>
            </v:textbox>
            <w10:anchorlock/>
          </v:shape>
        </w:pict>
      </w:r>
      <w:r>
        <w:rPr>
          <w:rFonts w:hint="eastAsia" w:ascii="宋体" w:hAnsi="宋体" w:cs="宋体"/>
          <w:color w:val="auto"/>
          <w:sz w:val="24"/>
          <w:szCs w:val="24"/>
          <w:highlight w:val="none"/>
        </w:rPr>
        <w:t>(4)QoS要求</w:t>
      </w:r>
      <w:bookmarkEnd w:id="6"/>
      <w:bookmarkEnd w:id="7"/>
    </w:p>
    <w:bookmarkEnd w:id="8"/>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①支持如下的分类和标识策略：以太网端口、VLAN ID（包括SVLAN，CVLAN）、802.1p、DSCP、IP PRECEDENCE、MPLS EXP等方式。</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②支持基于可配置项的复杂流分类（可配置项为源、目的MAC，源、目的IP地址，端口号等组合）。</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③支持支持出方向基于端口和基于队列的整形。</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④支持8级优先级处理能力。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⑤支持接入以太网报文、IP 报文、MPLS 报文的VLAN优先级、IP DSCP、EXP 与PHB 服务等级间的映射。</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⑥支持TDM CES业务优先级与PHB 服务等级间的映射</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⑦设备应支持基于MPLS的QoS和基于Ethernet的QoS特性</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⑧支持入口和出口的流量监管，支持队尾丢弃（Tail Drop）缓存策略，支持SP+WRR混合队列调度，支持基于优先级队列的流量整形功能和基于端口的流量整形功能。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(5)业务</w:t>
      </w:r>
      <w:bookmarkEnd w:id="3"/>
      <w:r>
        <w:rPr>
          <w:rFonts w:hint="eastAsia" w:ascii="宋体" w:hAnsi="宋体" w:cs="宋体"/>
          <w:color w:val="auto"/>
          <w:sz w:val="24"/>
          <w:szCs w:val="24"/>
          <w:highlight w:val="none"/>
        </w:rPr>
        <w:t>支持能力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设备支持10GE、GE规模组网能力；支持TDM E1接口、以太接口。</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具有对L2 VPN专网业务的支持能力。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具有对VoIP业务的支持能力。</w:t>
      </w:r>
    </w:p>
    <w:p>
      <w:pPr>
        <w:spacing w:after="72" w:line="360" w:lineRule="auto"/>
        <w:ind w:firstLine="480" w:firstLineChars="200"/>
        <w:rPr>
          <w:rFonts w:ascii="宋体" w:hAnsi="宋体" w:cs="宋体"/>
          <w:color w:val="auto"/>
          <w:sz w:val="24"/>
          <w:szCs w:val="24"/>
          <w:highlight w:val="none"/>
        </w:rPr>
      </w:pPr>
      <w:bookmarkStart w:id="9" w:name="_Toc224914823"/>
      <w:r>
        <w:rPr>
          <w:rFonts w:hint="eastAsia" w:ascii="宋体" w:hAnsi="宋体" w:cs="宋体"/>
          <w:color w:val="auto"/>
          <w:sz w:val="24"/>
          <w:szCs w:val="24"/>
          <w:highlight w:val="none"/>
        </w:rPr>
        <w:t>①以太网业务处理</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支持以太专线E-Line业务传送能力。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支持E-Tree业务传送能力。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支持L2功能：支持端口全双工工作模式；支持端口（电）1000M ，及10/100M自动协商功能；支持端口速率、双工模式、流控、MTU用户可配；支持L2 Switch功能；支持基于全双工方式下IEEE 802.3x Pause帧机制的端口流控功能；支持入向和出向端口镜像功能；支持广播/组播/未知单播包的风暴抑制功能；支持Jumbo帧功能。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支持L3功能：基于VLAN的三层接口；基于ML-PPP的三层接口；基于VCG的三层接口；基于GRE的三层接口；基于Qx口的三层接口；基于DCC通道的三层接口；支持OSPF、ISIS、BGP协议。</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MPLS功能：MPLS系统架构符合标准RFC 3031；标签栈结构符合标准RFC 3032；</w:t>
      </w:r>
      <w:bookmarkStart w:id="10" w:name="REQXQIZ8G"/>
      <w:r>
        <w:rPr>
          <w:rFonts w:hint="eastAsia" w:ascii="宋体" w:hAnsi="宋体" w:cs="宋体"/>
          <w:color w:val="auto"/>
          <w:sz w:val="24"/>
          <w:szCs w:val="24"/>
          <w:highlight w:val="none"/>
        </w:rPr>
        <w:t>每平台标记空间管理功能</w:t>
      </w:r>
      <w:bookmarkEnd w:id="10"/>
      <w:r>
        <w:rPr>
          <w:rFonts w:hint="eastAsia" w:ascii="宋体" w:hAnsi="宋体" w:cs="宋体"/>
          <w:color w:val="auto"/>
          <w:sz w:val="24"/>
          <w:szCs w:val="24"/>
          <w:highlight w:val="none"/>
        </w:rPr>
        <w:t>；</w:t>
      </w:r>
      <w:bookmarkStart w:id="11" w:name="REQXQIZAH"/>
      <w:r>
        <w:rPr>
          <w:rFonts w:hint="eastAsia" w:ascii="宋体" w:hAnsi="宋体" w:cs="宋体"/>
          <w:color w:val="auto"/>
          <w:sz w:val="24"/>
          <w:szCs w:val="24"/>
          <w:highlight w:val="none"/>
        </w:rPr>
        <w:t>静态/动态标签的分域管理</w:t>
      </w:r>
      <w:bookmarkEnd w:id="11"/>
      <w:r>
        <w:rPr>
          <w:rFonts w:hint="eastAsia" w:ascii="宋体" w:hAnsi="宋体" w:cs="宋体"/>
          <w:color w:val="auto"/>
          <w:sz w:val="24"/>
          <w:szCs w:val="24"/>
          <w:highlight w:val="none"/>
        </w:rPr>
        <w:t>；</w:t>
      </w:r>
      <w:bookmarkStart w:id="12" w:name="REQXQIZFI"/>
      <w:r>
        <w:rPr>
          <w:rFonts w:hint="eastAsia" w:ascii="宋体" w:hAnsi="宋体" w:cs="宋体"/>
          <w:color w:val="auto"/>
          <w:sz w:val="24"/>
          <w:szCs w:val="24"/>
          <w:highlight w:val="none"/>
        </w:rPr>
        <w:t>入口节点业务及标签处理功能</w:t>
      </w:r>
      <w:bookmarkEnd w:id="12"/>
      <w:r>
        <w:rPr>
          <w:rFonts w:hint="eastAsia" w:ascii="宋体" w:hAnsi="宋体" w:cs="宋体"/>
          <w:color w:val="auto"/>
          <w:sz w:val="24"/>
          <w:szCs w:val="24"/>
          <w:highlight w:val="none"/>
        </w:rPr>
        <w:t>；</w:t>
      </w:r>
      <w:bookmarkStart w:id="13" w:name="REQXQIZIJ"/>
      <w:r>
        <w:rPr>
          <w:rFonts w:hint="eastAsia" w:ascii="宋体" w:hAnsi="宋体" w:cs="宋体"/>
          <w:color w:val="auto"/>
          <w:sz w:val="24"/>
          <w:szCs w:val="24"/>
          <w:highlight w:val="none"/>
        </w:rPr>
        <w:t>出口节点业务及标签处理功能</w:t>
      </w:r>
      <w:bookmarkEnd w:id="13"/>
      <w:r>
        <w:rPr>
          <w:rFonts w:hint="eastAsia" w:ascii="宋体" w:hAnsi="宋体" w:cs="宋体"/>
          <w:color w:val="auto"/>
          <w:sz w:val="24"/>
          <w:szCs w:val="24"/>
          <w:highlight w:val="none"/>
        </w:rPr>
        <w:t>；</w:t>
      </w:r>
      <w:bookmarkStart w:id="14" w:name="REQXQIZLK"/>
      <w:r>
        <w:rPr>
          <w:rFonts w:hint="eastAsia" w:ascii="宋体" w:hAnsi="宋体" w:cs="宋体"/>
          <w:color w:val="auto"/>
          <w:sz w:val="24"/>
          <w:szCs w:val="24"/>
          <w:highlight w:val="none"/>
        </w:rPr>
        <w:t>中间节点标签处理功能</w:t>
      </w:r>
      <w:bookmarkEnd w:id="14"/>
      <w:r>
        <w:rPr>
          <w:rFonts w:hint="eastAsia" w:ascii="宋体" w:hAnsi="宋体" w:cs="宋体"/>
          <w:color w:val="auto"/>
          <w:sz w:val="24"/>
          <w:szCs w:val="24"/>
          <w:highlight w:val="none"/>
        </w:rPr>
        <w:t>；</w:t>
      </w:r>
      <w:bookmarkStart w:id="15" w:name="REQXQIZNL"/>
      <w:r>
        <w:rPr>
          <w:rFonts w:hint="eastAsia" w:ascii="宋体" w:hAnsi="宋体" w:cs="宋体"/>
          <w:color w:val="auto"/>
          <w:sz w:val="24"/>
          <w:szCs w:val="24"/>
          <w:highlight w:val="none"/>
        </w:rPr>
        <w:t>标签栈嵌套（3层）</w:t>
      </w:r>
      <w:bookmarkEnd w:id="15"/>
      <w:r>
        <w:rPr>
          <w:rFonts w:hint="eastAsia" w:ascii="宋体" w:hAnsi="宋体" w:cs="宋体"/>
          <w:color w:val="auto"/>
          <w:sz w:val="24"/>
          <w:szCs w:val="24"/>
          <w:highlight w:val="none"/>
        </w:rPr>
        <w:t>。</w:t>
      </w:r>
    </w:p>
    <w:p>
      <w:pPr>
        <w:spacing w:after="72" w:line="360" w:lineRule="auto"/>
        <w:ind w:firstLine="480" w:firstLineChars="200"/>
        <w:rPr>
          <w:rFonts w:ascii="宋体" w:hAnsi="宋体" w:cs="宋体"/>
          <w:color w:val="auto"/>
          <w:sz w:val="24"/>
          <w:szCs w:val="24"/>
          <w:highlight w:val="none"/>
        </w:rPr>
      </w:pPr>
      <w:bookmarkStart w:id="16" w:name="_Toc285979889"/>
      <w:bookmarkStart w:id="17" w:name="_Toc269999242"/>
      <w:bookmarkStart w:id="18" w:name="_Toc286831742"/>
      <w:r>
        <w:rPr>
          <w:rFonts w:hint="eastAsia" w:ascii="宋体" w:hAnsi="宋体" w:cs="宋体"/>
          <w:color w:val="auto"/>
          <w:sz w:val="24"/>
          <w:szCs w:val="24"/>
          <w:highlight w:val="none"/>
        </w:rPr>
        <w:t>PTN设备应支持完善的VPWS和VPLS功能</w:t>
      </w:r>
      <w:bookmarkEnd w:id="16"/>
      <w:bookmarkEnd w:id="17"/>
      <w:bookmarkEnd w:id="18"/>
      <w:r>
        <w:rPr>
          <w:rFonts w:hint="eastAsia" w:ascii="宋体" w:hAnsi="宋体" w:cs="宋体"/>
          <w:color w:val="auto"/>
          <w:sz w:val="24"/>
          <w:szCs w:val="24"/>
          <w:highlight w:val="none"/>
        </w:rPr>
        <w:t>。</w:t>
      </w:r>
    </w:p>
    <w:p>
      <w:pPr>
        <w:spacing w:after="72" w:line="360" w:lineRule="auto"/>
        <w:ind w:firstLine="480" w:firstLineChars="200"/>
        <w:rPr>
          <w:rFonts w:ascii="宋体" w:hAnsi="宋体" w:cs="宋体"/>
          <w:color w:val="auto"/>
          <w:sz w:val="24"/>
          <w:szCs w:val="24"/>
          <w:highlight w:val="none"/>
        </w:rPr>
      </w:pPr>
      <w:bookmarkStart w:id="19" w:name="_Toc285979895"/>
      <w:bookmarkStart w:id="20" w:name="_Toc269999252"/>
      <w:bookmarkStart w:id="21" w:name="_Toc286831748"/>
      <w:r>
        <w:rPr>
          <w:rFonts w:hint="eastAsia" w:ascii="宋体" w:hAnsi="宋体" w:cs="宋体"/>
          <w:color w:val="auto"/>
          <w:sz w:val="24"/>
          <w:szCs w:val="24"/>
          <w:highlight w:val="none"/>
        </w:rPr>
        <w:t>L3 VPN 采用BGP/MPLS VPN技术，遵循RFC4364协议</w:t>
      </w:r>
      <w:bookmarkEnd w:id="19"/>
      <w:bookmarkEnd w:id="20"/>
      <w:bookmarkEnd w:id="21"/>
      <w:r>
        <w:rPr>
          <w:rFonts w:hint="eastAsia" w:ascii="宋体" w:hAnsi="宋体" w:cs="宋体"/>
          <w:color w:val="auto"/>
          <w:sz w:val="24"/>
          <w:szCs w:val="24"/>
          <w:highlight w:val="none"/>
        </w:rPr>
        <w:t>。</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IEEE规定的三种生成树协议：标准生成树（STP）、快速生成树（RSTP）及多生成树（MSTP）。在简单拓扑环境下（网络层次不大于2层），标准生成树协议的链路收敛时间不大于45秒，快速生成树协议的链路收敛时间不大于5秒。设备必须支持基于物理端口打开/关闭或者透传生成树协议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支持多段伪线MS-PW功能：支持配置MS-PW的方式；支持不同方式建立的分段PW的对接。</w:t>
      </w:r>
    </w:p>
    <w:bookmarkEnd w:id="9"/>
    <w:p>
      <w:pPr>
        <w:spacing w:after="72" w:line="360" w:lineRule="auto"/>
        <w:ind w:firstLine="480" w:firstLineChars="200"/>
        <w:rPr>
          <w:rFonts w:ascii="宋体" w:hAnsi="宋体" w:cs="宋体"/>
          <w:color w:val="auto"/>
          <w:sz w:val="24"/>
          <w:szCs w:val="24"/>
          <w:highlight w:val="none"/>
        </w:rPr>
      </w:pPr>
      <w:bookmarkStart w:id="22" w:name="_Toc224914824"/>
      <w:bookmarkStart w:id="23" w:name="_Toc231100332"/>
      <w:r>
        <w:rPr>
          <w:rFonts w:hint="eastAsia" w:ascii="宋体" w:hAnsi="宋体" w:cs="宋体"/>
          <w:color w:val="auto"/>
          <w:sz w:val="24"/>
          <w:szCs w:val="24"/>
          <w:highlight w:val="none"/>
        </w:rPr>
        <w:t>②TDM业务处理</w:t>
      </w:r>
      <w:bookmarkEnd w:id="22"/>
      <w:bookmarkEnd w:id="23"/>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支持TDM over PWE3功能。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支持TDM CES业务的非结构化仿真模式（SAToP），符合RFC4553的要求。</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支持通道化VC12仿真模式(CEP)，符合RFC4842的要求。</w:t>
      </w:r>
    </w:p>
    <w:p>
      <w:pPr>
        <w:spacing w:after="72" w:line="360" w:lineRule="auto"/>
        <w:ind w:firstLine="480" w:firstLineChars="200"/>
        <w:rPr>
          <w:rFonts w:ascii="宋体" w:hAnsi="宋体" w:cs="宋体"/>
          <w:color w:val="auto"/>
          <w:sz w:val="24"/>
          <w:szCs w:val="24"/>
          <w:highlight w:val="none"/>
        </w:rPr>
      </w:pPr>
      <w:bookmarkStart w:id="24" w:name="_Toc231100336"/>
      <w:bookmarkStart w:id="25" w:name="_Toc224914828"/>
      <w:r>
        <w:rPr>
          <w:rFonts w:hint="eastAsia" w:ascii="宋体" w:hAnsi="宋体" w:cs="宋体"/>
          <w:color w:val="auto"/>
          <w:sz w:val="24"/>
          <w:szCs w:val="24"/>
          <w:highlight w:val="none"/>
        </w:rPr>
        <w:t>(6)OAM能力要求</w:t>
      </w:r>
      <w:bookmarkEnd w:id="24"/>
      <w:bookmarkEnd w:id="25"/>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①支持以太网OAM和MPLS-TP OAM，实现快速故障检测和业务保护，保证电信级的服务质量。</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②OAM模块应基于硬件实现，设备不应因处理OAM业务条数增加而导致性能下降。</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③为实现50ms的电信级保护能力，投标方设备OAM协议报文（包括CC，FFD）发送周期应可设置，支持协议报文的最小发送周期为3.3ms，且汇聚中心设备支持的OAM实例数量应不小于2k。</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④支持快速故障监测，故障检测时间应不大于10ms，确保50ms倒换时间。</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⑤支持以太网业务OAM，该功能符合IEEE 802.1ag和ITU-T Y.1731。</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⑥支持以太网链路层OAM，该功能符合IEEE 802.3ah标准。</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⑦支持MPLS/MPLS-TP OAM能力。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⑧支持以太网业务（Port＋VLAN）级别的性能检测能力，应包括丢包率检测，其精度误差应不超过10％，支持时延和抖动检测能力，时延和抖动的绝对误差值应不超过100us。</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⑨支持BFD检测功能。</w:t>
      </w:r>
    </w:p>
    <w:p>
      <w:pPr>
        <w:spacing w:after="72" w:line="360" w:lineRule="auto"/>
        <w:ind w:firstLine="480" w:firstLineChars="200"/>
        <w:rPr>
          <w:rFonts w:ascii="宋体" w:hAnsi="宋体" w:cs="宋体"/>
          <w:color w:val="auto"/>
          <w:sz w:val="24"/>
          <w:szCs w:val="24"/>
          <w:highlight w:val="none"/>
        </w:rPr>
      </w:pPr>
      <w:bookmarkStart w:id="26" w:name="_Toc231100340"/>
      <w:bookmarkStart w:id="27" w:name="_Toc224914832"/>
      <w:bookmarkStart w:id="28" w:name="_Toc224805930"/>
      <w:r>
        <w:rPr>
          <w:rFonts w:hint="eastAsia" w:ascii="宋体" w:hAnsi="宋体" w:cs="宋体"/>
          <w:color w:val="auto"/>
          <w:sz w:val="24"/>
          <w:szCs w:val="24"/>
          <w:highlight w:val="none"/>
        </w:rPr>
        <w:t>(7)定时和同步要求</w:t>
      </w:r>
      <w:bookmarkEnd w:id="26"/>
      <w:bookmarkEnd w:id="27"/>
      <w:bookmarkEnd w:id="28"/>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①支持时钟频率和时间的传送能力和接口要求。</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②支持最少两路时钟输入/输出接口，两路时钟接口支持主备保护能力。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③外时钟接口应实现时钟频率和时间的可配置能力，频率同步支持从75欧姆和120欧姆两种类型的外时钟输入口恢复时钟。</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④支持同步以太网时钟频率传送能力，同步以太网应符合G.8261，设备的GE、10GE接口应均支持同步以太网功能。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⑤支持1PPS秒脉冲接口，支持GPS输入和输出接口。</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⑥支持同步以太网时钟的SSM协议。</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⑦支持多路时钟输入优先级表的设置，时钟优先级和状态表应能够通过NMS查询。</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⑧支持IEEE1588V2的时间同步能力。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(8)光接口参数</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GE光接口技术指标                      </w:t>
      </w:r>
    </w:p>
    <w:tbl>
      <w:tblPr>
        <w:tblStyle w:val="63"/>
        <w:tblW w:w="909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2437"/>
        <w:gridCol w:w="1663"/>
        <w:gridCol w:w="1560"/>
        <w:gridCol w:w="1701"/>
        <w:gridCol w:w="1730"/>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项目</w:t>
            </w:r>
          </w:p>
        </w:tc>
        <w:tc>
          <w:tcPr>
            <w:tcW w:w="6654"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性能指标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标称速率</w:t>
            </w:r>
          </w:p>
        </w:tc>
        <w:tc>
          <w:tcPr>
            <w:tcW w:w="6654"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1000 Mbit/s</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光接口类型</w:t>
            </w:r>
          </w:p>
        </w:tc>
        <w:tc>
          <w:tcPr>
            <w:tcW w:w="1663"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1000BASE-SX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（0.5km）</w:t>
            </w:r>
          </w:p>
        </w:tc>
        <w:tc>
          <w:tcPr>
            <w:tcW w:w="1560"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1000BASE-LX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（10km）</w:t>
            </w:r>
          </w:p>
        </w:tc>
        <w:tc>
          <w:tcPr>
            <w:tcW w:w="1701"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1000BASE-LX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（40km）</w:t>
            </w:r>
          </w:p>
        </w:tc>
        <w:tc>
          <w:tcPr>
            <w:tcW w:w="1730"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1000BASE-ZX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（80km）</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连接器类型</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光纤类型</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多模</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中心波长（nm）</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850</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1310</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1310</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1550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平均发送光功率（dBm）</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-9.5～-4</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-9～-3</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-4～5</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0～5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接收灵敏度（dBm）</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≤-17</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≤-20</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≤-22</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≤-22</w:t>
            </w:r>
          </w:p>
        </w:tc>
      </w:tr>
    </w:tbl>
    <w:p>
      <w:pPr>
        <w:adjustRightInd w:val="0"/>
        <w:snapToGrid w:val="0"/>
        <w:spacing w:line="360" w:lineRule="auto"/>
        <w:ind w:firstLine="480" w:firstLineChars="200"/>
        <w:rPr>
          <w:rFonts w:ascii="宋体" w:hAnsi="宋体" w:cs="宋体"/>
          <w:color w:val="auto"/>
          <w:sz w:val="24"/>
          <w:szCs w:val="24"/>
          <w:highlight w:val="none"/>
        </w:rPr>
      </w:pPr>
    </w:p>
    <w:p>
      <w:pPr>
        <w:adjustRightInd w:val="0"/>
        <w:snapToGrid w:val="0"/>
        <w:spacing w:line="360" w:lineRule="auto"/>
        <w:ind w:firstLine="480" w:firstLineChars="200"/>
        <w:rPr>
          <w:rFonts w:ascii="宋体" w:hAnsi="宋体" w:cs="宋体"/>
          <w:color w:val="auto"/>
          <w:sz w:val="24"/>
          <w:szCs w:val="24"/>
          <w:highlight w:val="none"/>
        </w:rPr>
      </w:pP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10GE光接口技术指标                    </w:t>
      </w:r>
    </w:p>
    <w:tbl>
      <w:tblPr>
        <w:tblStyle w:val="63"/>
        <w:tblW w:w="917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2979"/>
        <w:gridCol w:w="1462"/>
        <w:gridCol w:w="1478"/>
        <w:gridCol w:w="1718"/>
        <w:gridCol w:w="1534"/>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项目</w:t>
            </w:r>
          </w:p>
        </w:tc>
        <w:tc>
          <w:tcPr>
            <w:tcW w:w="6192"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性能指标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标称速率</w:t>
            </w:r>
          </w:p>
        </w:tc>
        <w:tc>
          <w:tcPr>
            <w:tcW w:w="6192"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10000 Mbit/s</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光接口类型</w:t>
            </w:r>
          </w:p>
        </w:tc>
        <w:tc>
          <w:tcPr>
            <w:tcW w:w="1462"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10GBASE-SR（0.3km）</w:t>
            </w:r>
          </w:p>
        </w:tc>
        <w:tc>
          <w:tcPr>
            <w:tcW w:w="147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0GBASE-LR（10km）</w:t>
            </w:r>
          </w:p>
        </w:tc>
        <w:tc>
          <w:tcPr>
            <w:tcW w:w="171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10GBASE-ER（40km）</w:t>
            </w:r>
          </w:p>
        </w:tc>
        <w:tc>
          <w:tcPr>
            <w:tcW w:w="1534"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10GBASE-ZR（80km）</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连接器类型</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光纤类型</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多模</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中心波长（nm）</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850</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1310</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1550</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1550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平均发送光功率（dBm）</w:t>
            </w:r>
          </w:p>
        </w:tc>
        <w:tc>
          <w:tcPr>
            <w:tcW w:w="1462"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-7.3～-1</w:t>
            </w:r>
          </w:p>
        </w:tc>
        <w:tc>
          <w:tcPr>
            <w:tcW w:w="147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-5～-1</w:t>
            </w:r>
          </w:p>
        </w:tc>
        <w:tc>
          <w:tcPr>
            <w:tcW w:w="171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0～2</w:t>
            </w:r>
          </w:p>
        </w:tc>
        <w:tc>
          <w:tcPr>
            <w:tcW w:w="1534"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接收灵敏度（dBm）</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≤-11.1</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≤-16.5</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≤-26</w:t>
            </w:r>
          </w:p>
        </w:tc>
      </w:tr>
    </w:tbl>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TS302.5  传输设备一般要求</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1、环境温度及湿度</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运输和储存时温度：-20℃～+60℃</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使用时温度要求如下：</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保证性能：+5℃～+40℃</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保证工作：0℃～+45℃</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相对湿度要求如下：</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 xml:space="preserve">保证性能指标：10%～95%（+35℃）  </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保证工作：5%～95%（+35℃）</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2、设备工作电源：输入电压：-48V（-15% +20%）DC</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3、温度循环试验和振动测试要求应能满足国际和国标规定</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4、设备机架高度建议优选2000mm和2200mm规格类型。机架宽度按19”标准。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5、所供设备机架、子架中不装单元框的空位置应加装盖板。</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6、设备的冷却采用自然冷却方式。</w:t>
      </w:r>
    </w:p>
    <w:p>
      <w:pPr>
        <w:pStyle w:val="3"/>
        <w:spacing w:before="312" w:beforeLines="100" w:after="312" w:afterLines="10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  语音交换系统</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TS303.1  概述</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根据管理体制要求，本项目由茶岭路段中心管理。茶岭路段中心目前计划配置一套基于IP的语音软交换系统。该语音软交换机处理能力不低于1000门（本地处理能力不低于200路），负责本路段范围内用户的语音业务，容量可满足本项目接入需求，后续可根据实际需要升级设备。</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本项目各通信站语音业务由所属路段中心已配置的语音交换系统进行处理，收费站和服务区设置语音接入网关IAD，通过综合接入网提供沿线管理部门之间的业务电话、传真机和指令电话的连接。</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TS303.2  工程范围</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1、双音多频话机</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22部</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2、不小于48路语音接入网关                  2台</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3、100回线配线架                           2套</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4、电话光端机                   </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2对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5、传真机                      </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2对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6、语音接入授权 </w:t>
      </w:r>
      <w:r>
        <w:rPr>
          <w:rFonts w:hint="eastAsia" w:ascii="宋体" w:hAnsi="宋体" w:cs="宋体"/>
          <w:i/>
          <w:color w:val="auto"/>
          <w:sz w:val="24"/>
          <w:szCs w:val="24"/>
          <w:highlight w:val="none"/>
        </w:rPr>
        <w:t xml:space="preserve"> </w:t>
      </w:r>
      <w:r>
        <w:rPr>
          <w:rFonts w:hint="eastAsia" w:ascii="宋体" w:hAnsi="宋体" w:cs="宋体"/>
          <w:color w:val="auto"/>
          <w:sz w:val="24"/>
          <w:szCs w:val="24"/>
          <w:highlight w:val="none"/>
        </w:rPr>
        <w:t xml:space="preserve">                           1项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7、完成本系统所需的其它所有材料及工作       1项</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TS303.3  主要业务功能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1、系统基本功能：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(1)专网内用户包括业务电话(BT)、传真机(FAX)和ISDN 2B+D用户。专网内用户自动呼叫。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(2)为用户提供市话、国内和国际长途全自动业务。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(3)中继汇接、选择路由和号线连选。</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(4)话务台服务和电脑话务员。</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(5)用户服务等级分类。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(6)热线功能。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(7)会议电话功能。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(8)缩位拨号功能。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(9)排队功能。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(10)多路由选择功能。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(11)用户长短号功能。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(12)号码变换功能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(13)号码分析功能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(14)自动测试。包括用户线和中继线自动测试、传输特性自动测试、自动诊断和故障清除等。</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(15)话务量统计(每15分钟一次)。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2、分机基本功能：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根据业务服务等级，为各分机提供如下功能：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(1)常规呼叫，专网、市话、国内和国际长途等；</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(2)缩位拨号；</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(3)热线服务；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(4)呼出限制；</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(5)呼叫转移；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(6)免打扰服务；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(7)查打恶意呼叫；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(8)闹钟服务；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(9)截接服务；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(10)遇忙回叫；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(11)三方通话；</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(12)会议电话。</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3、其他功能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(1)服务等级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用户服务等级可分为三类：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Ⅰ类：会议电话、管理局和管理所主管；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Ⅱ类：管理局和管理所所属主要部门主管；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Ⅲ类：其他。</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工程实施时，根据业主要求安排。</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(2)鉴别振铃/拨号音</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应区别原始呼叫和呼叫种类。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(3)室外分机线路电路</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交换机应配有“长线”分机板。</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用于远距离服务点的特定分机线路电路,应在比一般分机环阻和传输损耗都高的情况下,能正常工作。</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(4)振铃和音调</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振铃和音调应符合中国原邮电部标准。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(5)灵活编号</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应在不需任何重新配线或跨接的情况下,能从管理终端座席对分机重新编号和重新分类及号码的分析。编号是灵活的。</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(6)夜间转换</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话务员控制台处于夜间服务之后,电话薄号码的所有呼叫将转接到指定用户或转接到另一节点的话务员。</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4、值班员话务控制台功能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路段通信中心交换机应配置话务员台和电脑话务员，转接从公网来的呼叫。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(1)话务员台应为PC机型，应有显示屏功能键盘和轻型头机。</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(2)话务员台应能受理用户申请，记录并显示通话单。</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(3)根据需要，话务员能进行规定的接读操作：半自动操作、公网来话转接操作、查询操作。</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(4)话务员有来话呼叫优先级功能。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(5)114查询：话务员台应兼有“114”查号功能。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(6)当话务台故障或话务员离席或交流电源中断时能自动或人工转至电脑话务员服务。</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5、指令电话系统(CTS)</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指令电话系统是为路段监控中心工作人员提供在紧急情况下指挥和控制相应人员的一种通信工具。</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路段通信中心已设指令电话主机(指令电话控制台)。</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指令电话分机设在沿高速公路全线的指定位置，例如：收费站、通信站、服务区和养护工区等。</w:t>
      </w:r>
    </w:p>
    <w:p>
      <w:pPr>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指令电话仅能与路段监控中心直接连接。</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指令电话分机可选用DTMF电话机或专用分机。</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TS303.4  系统配置及接口方式</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1、系统容量</w:t>
      </w:r>
    </w:p>
    <w:p>
      <w:pPr>
        <w:adjustRightInd w:val="0"/>
        <w:spacing w:after="72" w:line="360" w:lineRule="auto"/>
        <w:ind w:firstLine="3518" w:firstLineChars="1460"/>
        <w:jc w:val="left"/>
        <w:rPr>
          <w:rFonts w:ascii="宋体" w:hAnsi="宋体" w:cs="宋体"/>
          <w:b/>
          <w:color w:val="auto"/>
          <w:sz w:val="24"/>
          <w:szCs w:val="24"/>
          <w:highlight w:val="none"/>
        </w:rPr>
      </w:pPr>
      <w:r>
        <w:rPr>
          <w:rFonts w:hint="eastAsia" w:ascii="宋体" w:hAnsi="宋体" w:cs="宋体"/>
          <w:b/>
          <w:color w:val="auto"/>
          <w:sz w:val="24"/>
          <w:szCs w:val="24"/>
          <w:highlight w:val="none"/>
        </w:rPr>
        <w:t>用户容量一览表</w:t>
      </w:r>
    </w:p>
    <w:tbl>
      <w:tblPr>
        <w:tblStyle w:val="63"/>
        <w:tblW w:w="5000" w:type="pct"/>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2384"/>
        <w:gridCol w:w="2033"/>
        <w:gridCol w:w="2127"/>
        <w:gridCol w:w="197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名      称</w:t>
            </w:r>
          </w:p>
        </w:tc>
        <w:tc>
          <w:tcPr>
            <w:tcW w:w="1193"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业务电话（部）</w:t>
            </w:r>
          </w:p>
        </w:tc>
        <w:tc>
          <w:tcPr>
            <w:tcW w:w="1248"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指令电话（部）</w:t>
            </w:r>
          </w:p>
        </w:tc>
        <w:tc>
          <w:tcPr>
            <w:tcW w:w="1160"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总计（部）</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独秀山收费站</w:t>
            </w:r>
          </w:p>
        </w:tc>
        <w:tc>
          <w:tcPr>
            <w:tcW w:w="1193"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10</w:t>
            </w:r>
          </w:p>
        </w:tc>
        <w:tc>
          <w:tcPr>
            <w:tcW w:w="1248"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160"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11</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潜山收费站</w:t>
            </w:r>
          </w:p>
        </w:tc>
        <w:tc>
          <w:tcPr>
            <w:tcW w:w="1193"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10</w:t>
            </w:r>
          </w:p>
        </w:tc>
        <w:tc>
          <w:tcPr>
            <w:tcW w:w="1248"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160"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11</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合计</w:t>
            </w:r>
          </w:p>
        </w:tc>
        <w:tc>
          <w:tcPr>
            <w:tcW w:w="1193"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20</w:t>
            </w:r>
          </w:p>
        </w:tc>
        <w:tc>
          <w:tcPr>
            <w:tcW w:w="1248"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160" w:type="pct"/>
            <w:vAlign w:val="center"/>
          </w:tcPr>
          <w:p>
            <w:pPr>
              <w:widowControl/>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22</w:t>
            </w:r>
          </w:p>
        </w:tc>
      </w:tr>
    </w:tbl>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2、编号计划</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字冠规划</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根据交通部颁布的编号计划及安徽省高速公路电话网建设的实际情况，首位号码的分配如下： </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－－特种业务和新业务；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2～7－－用户号首位；</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  ――交通部专用网内的长途自动电话字冠；</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  ――接入交通系统移动电话网首位；</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0  ――进入所在地电话公网的字冠。</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用户号码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用户电话号码组成：PQR+ABC。采用6位等长编码。其中PQR为局号；ABC为用户号码。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交换局“PQR’号码分配由省管理中心协调省中心进行统一分配。用户号码“ABC”由各端局自行分配。</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TS303.5  设备的技术要求</w:t>
      </w:r>
    </w:p>
    <w:p>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1、语音接入网关（收费站和服务区通信站）</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接口数量：至少48路语音口；</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接口类型：FXS；</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语音口支持FXS口， FXS口与用户的电话机相连；</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供电电源：DC，-48V；</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工作温度:0℃～45℃；</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工作湿度：5%～90%，无冷凝。</w:t>
      </w:r>
    </w:p>
    <w:p>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2、双音多频话机</w:t>
      </w:r>
    </w:p>
    <w:p>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在各站配备相应用户数量的双音多频话机，用于业务电话、指令电话分机；采用的普通双音频话机具备保持键（HOLD 键）、重拨键（Redial 键），具备来电显示功能；另外话机上应有如下指示灯：振铃、保持灯等。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3、总配线单元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在各无人通信站各配置100回线的配线单元，与ODF采用混合配线柜。每站配置50%的自复式保安单元。</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总配线柜的用户线外线侧应采用保安接线排，用户线局内侧的接线排和中继接线排均应有切断性能。</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需要适合数字交换设备的新型总配线柜。承包人在投标书中应提供建议的总配线柜的类型和尺寸。</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保安器：总配线柜上均应装有50％自复式保安器。承包人应提供保安单元类型、尺寸及相关参数。</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总配线柜的性能、机械结构和工艺要求应符合中国原邮电部YDN065-1997和YD/T694-2004《总配线架》的要求。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4、电话光端机</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单模光缆，光波长：1310nm或1550nm</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提供30路电话（音频）接口和1路带宽为10/100M的10/100M自适应以太网接口</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传输距离&gt;4Km</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TS304  数据、图像传输系统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1、监控外场数据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监控外场数经工业以太网交换机组成的双纤自愈环网传输至就近收费站视频交换机后，通过通信系统接入网，采用IP方式实现数据至路段中心的传输。</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2、收费数据传输通路</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（1）收费车道至收费站数据传输由收费系统负责。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（2）通信系统负责为各收费站提供1×10/100M以太网接口，实现收费站至路段中心的数据传输。</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（3）通信系统提供1×1000M数字通道，实现收费数据由路段收费中心至安徽省高速公路联网收费管理中心。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3、图像传输通路</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项目视频图像摄像机为高清网络摄像机，视频图像经摄像机内置视频编码模块编码压缩后,经摄像机以太网电口接至工业以太网交换机，由工业以太网交换机组成双纤自愈环网传输至就近收费站无人通信站；由无人通信站提供的1000M以太网接口，经过路段内通信传输系统，实现视频图像上传至路段中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同时干线传输设备为图像至安徽省中心及相邻路段中心的传输分别提供1000M以太网接口。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数字视频图像传输用的设备由收费、监控系统负责，通信系统还需为监控系统图像传输所需的光纤，收费站收费图像传输所需的光纤由收费系统负责。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4、其他数据传输通路</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通信系统需为办公自动化平台数据、通信电源监控数据等在相应通信站ONU提供相应传输通道。</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TS305光缆工程</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主线、互通分歧路段均埋设了通信管道，本项目沿线的通信光缆均敷设在通信管道内。</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TS305.2  光缆规格</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通信传输线路不仅需要考虑通信系统传输的需要，还要考虑监控和收费系统图像传输的需要以及预留备份的需要（如与相邻高速联网或远期其他业务传输的需要）。</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项目全线敷设四条单模光缆，一条主干通信光缆，芯数为96芯，主要用于干线、接入网传输；两条主干监控光缆，芯数均为48芯，主要用于外场监控数据及图像的传输，其中一条备用；一条ETC光缆，芯数为24芯，专门用于主线ETC门架数据的传输。通信光缆敷占用预先已敷设好主干Φ40/33硅芯管中的4孔。</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各监控外场敷设一条单模8芯的尾缆用于接入中央分隔带的分支光缆用。</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光缆要终接到光终端盒中。光纤都上光配线架。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TS305.3  光缆主要技术性能指标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1、光纤类型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光纤类型：单模</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工作波长：1310nm、1550nm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几何特性：符合ITU-T G.652要求，其中：</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模场</w:t>
      </w:r>
      <w:r>
        <w:rPr>
          <w:rFonts w:hint="eastAsia" w:ascii="宋体" w:hAnsi="宋体" w:cs="宋体"/>
          <w:color w:val="auto"/>
          <w:spacing w:val="6"/>
          <w:sz w:val="24"/>
          <w:szCs w:val="24"/>
          <w:highlight w:val="none"/>
        </w:rPr>
        <w:t>直径：8.6-9.5μm±0.5μm</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包层直径：</w:t>
      </w:r>
      <w:r>
        <w:rPr>
          <w:rFonts w:hint="eastAsia" w:ascii="宋体" w:hAnsi="宋体" w:cs="宋体"/>
          <w:color w:val="auto"/>
          <w:kern w:val="0"/>
          <w:sz w:val="24"/>
          <w:szCs w:val="24"/>
          <w:highlight w:val="none"/>
        </w:rPr>
        <w:t>125μm±1μm</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包层表面不圆度：</w:t>
      </w:r>
      <w:r>
        <w:rPr>
          <w:rFonts w:hint="eastAsia" w:ascii="宋体" w:hAnsi="宋体" w:cs="宋体"/>
          <w:color w:val="auto"/>
          <w:kern w:val="0"/>
          <w:sz w:val="24"/>
          <w:szCs w:val="24"/>
          <w:highlight w:val="none"/>
        </w:rPr>
        <w:t>≤1.0%</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kern w:val="0"/>
          <w:sz w:val="24"/>
          <w:szCs w:val="24"/>
          <w:highlight w:val="none"/>
        </w:rPr>
        <w:t>同心度偏差：≤0.6μm（1550nm）; ≤0.8μm（1310nm）</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kern w:val="0"/>
          <w:sz w:val="24"/>
          <w:szCs w:val="24"/>
          <w:highlight w:val="none"/>
        </w:rPr>
        <w:t>包层/涂覆层同心度误差：≤12.0μｍ</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kern w:val="0"/>
          <w:sz w:val="24"/>
          <w:szCs w:val="24"/>
          <w:highlight w:val="none"/>
        </w:rPr>
        <w:t>光纤翘曲度：曲率半径≧4.0ｍ</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(4) 截止波长：≤1260nm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(5) 筛选张力≥5N，加力时间不小于1秒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(6) 色散系数：18ps/nm•km（1550nm）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2、光缆部分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光缆结构：层绞式或束管式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敷设方式：沿管道敷设</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维护方式：填充油膏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加强件：金属加强件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光纤色谱：每根光纤整个长度标色</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承包人应提供本工程所需光缆纤束中光纤颜色和纤束扎线颜色及扎束方法。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衰减特性：</w:t>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衰减常数≤0.35dB/Km（1310nm）</w:t>
      </w:r>
      <w:r>
        <w:rPr>
          <w:rFonts w:hint="eastAsia" w:ascii="宋体" w:hAnsi="宋体" w:cs="宋体"/>
          <w:color w:val="auto"/>
          <w:spacing w:val="6"/>
          <w:sz w:val="24"/>
          <w:szCs w:val="24"/>
          <w:highlight w:val="none"/>
        </w:rPr>
        <w:br w:type="textWrapping"/>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衰减常数≤0.20dB/Km（1550nm）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 接头损耗：</w:t>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 xml:space="preserve">在1330/1550波长上平均值≤0.05dB; </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最大值（2σ）≤0.10ｄＢ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 衰减温度特性：在-30℃～60℃范围内附加衰减≤0.05dB/Km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 允许拉伸力：FST≥1500N，FLT≥600N</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(10) 最大允许张力：符合IEC794.IE4标准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(11) 衰减温度特性：在-60℃～+85℃范围内,在1310、1550、1625nm波长允许的附加衰减不大于0.05dB/km。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（12）湿热性能：在85ºC±2ºC温度和相对湿度不低于85%的条件下，放置30天后，在1310nm、1550nm、1625nm波长与20ºC时相比允许的附加衰减系数≤0.05dB/km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（13）浸水性能：在23℃±2℃温度下，浸泡在水中30天后，在1310、1550、1625nm波长与20ºC时相比允许的附加衰减不大于0.05dB/km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(14) 光缆允许弯曲半径</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安装时：≥光缆外径的20倍</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固定后：≥光缆外径的15倍</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(15) 制造长度：盘长3000米或2000米或按施工阶段具体现场情况完成光缆配盘表</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(16) 使用寿命：正常使用不小于25年</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(17) 其他有关指标应符合ITU-T、ICE及国内有关规范的规定</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TS305.4  对承包人的要求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承包人技术建议书还应包括以下内容：</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光缆结构、断面的描述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光缆技术指标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光缆主要材料性能说明</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光缆工程安装材料的主要性能及使用要求</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TS306  通信电源</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TS306.1  一般要求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1、承包人应为本项目沿线无人通信站提供及安装高频开关电源及相应的蓄电池组，为通信设备提供-48V直流电源。接入网设备采用自带直流电源方式供电。</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2、附件及备件应包括：电力电缆、汇流条、夹头、支撑件、熔丝及其他各种易损耗件。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3、承包人提供的电源设备应有满意的灵活性，应保证高稳定性和安全可靠，有所需的保护装置。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承包人提供的电源设备应配备监控模块，负责采集本站电源设备运行信息，并把采集到的电源设备运行状况信息利用传输系统提供的数据通道传到路段通信中心，由光纤用户接入网网管维护终端的电源管理功能对其进行管理维护。</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TS306.2  电源设备的主要技术要求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1、交流配电单元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工程现场能提供的交流电源为：</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电压变动范围：220V±20% A.C</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频率变化范围：50Hz±10%</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电压波形正弦畸变率≤5%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承包人提供的开关电源应具有至少两路220V交流输入口，并能够自动转换。开关电源应具有两路电源不能同时供电的互锁功能。交流输出的分路数量应满足实际需要，各输出分路设保护装置。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绝缘：设备各带电回路对地绝缘电阻均不低于2MΩ，配电设备带电回路对地或非电连接的两个带电回路之间应能承受50Hz  2500V交流电压1分钟无击穿、无飞弧。</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2、直流配电单元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输出电压为额定48V，范围为40V～57V （输出电压的精度为±1%）。</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浮充及充电：监测和控制输出电压额定值的允许误差为±0.5V。浮充电压范围控制为43.2V～56.2V，均充电压上限值控制点为57.6V。运行中能接两组蓄电池组或一组蓄电池组，直流配电盘应能适应两组蓄电池浮充供电方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输出直流分路数：输出直流分路数应满足通信站的实际需要，各输出分路设保护装置。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电压降：直流配电单元电压降≤500mV。</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绝缘：设备各带电回路对地绝缘电阻均不低于2MΩ。设备各带电回路对地或非电连接的两个带电回路之间应能承受50Hz  1000V交流电压1分钟不产生击穿，无飞弧现象。工作在60V以下，不与主电路连接的辅助电路应能承受50Hz  500V交流电压1分钟无击穿、无飞弧。</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3、整流单元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整流器的主要技术指标应满足下列要求：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整流设备的类型：全浮充方式、自动稳压、负荷分担功能，（n+1）并联冗余溢流型（整流模块以n+1方式工作，按比例均分总负荷量，在单位模块50%～100%额定电流输出范围内，其均分负荷不平衡度≤±5%额定电流值）。</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效率和功率因数</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效率： ≥90%，功率因数：cosΦ≥0.9</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杂音电压：</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衡重杂音电压：≤2mV（300Hz-3400Hz）；</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峰-峰杂音电压：≤200mV（0-20MHz）；</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负载效应：不超过直流输出电压额定值的±0.5%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源效应：不超过直流输出电压额定值的±0.1%</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温度系数（1/℃）：不超过直流输出额电压定值的±2‰</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 稳压精度：不超过直流输出电压额定值的±0.6%</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 动态响应：负载效应恢复时间不大于200μS，超调量不超过直流输出电压整定值的±5%，开关机过冲幅度最大峰值不超过直流输出电压额定值的±10%，启动冲击电流不大于最大输入电流有效值的150%。</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 绝缘：交流电路对地，交流电路对直流电路之间应能承受50Hz，1500V的交流电压1min无击穿、无飞弧，漏电流≤30mA。直流电路对地应能承受50Hz500V的交流电压1min无击穿、无飞弧，漏电流≤30mA。在正常大气压条件下，相对湿度为90%，试验电压为直流500V时，整流器主回路的交流部分和直流部分对地，交流部分对直流部分的绝缘电阻均不低于2M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4、整流器使用性能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直流输出电压可调节范围</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整流器在稳压工作的基础上，应能与蓄电池并联以浮充工作方式或均衡工作方式向通信设施供电。</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浮充工作方式时直流输出电压的调节范围应为其标称值的95%～117%。</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均衡工作方式时直流输出电压的调节范围上限值应为其标称值的120%。</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当系统在断电之后重新启动时，应按电池的放电容量或放电时间确定进行均充或浮充，均充结束后自动转入浮充状态，充电过程应自动控制。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系统应具有温度自动补偿功能：随着蓄电池环境温度变化，系统的浮充电压应能按1-5mV/cell/℃自动调节。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整流器应能采用多台同型号电源并机工作。</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过、欠电压保护性能</w:t>
      </w:r>
    </w:p>
    <w:p>
      <w:pPr>
        <w:numPr>
          <w:ilvl w:val="1"/>
          <w:numId w:val="4"/>
        </w:numPr>
        <w:spacing w:line="360" w:lineRule="auto"/>
        <w:ind w:left="908" w:hanging="284"/>
        <w:rPr>
          <w:rFonts w:ascii="宋体" w:hAnsi="宋体" w:cs="宋体"/>
          <w:color w:val="auto"/>
          <w:sz w:val="24"/>
          <w:szCs w:val="24"/>
          <w:highlight w:val="none"/>
        </w:rPr>
      </w:pPr>
      <w:r>
        <w:rPr>
          <w:rFonts w:hint="eastAsia" w:ascii="宋体" w:hAnsi="宋体" w:cs="宋体"/>
          <w:color w:val="auto"/>
          <w:sz w:val="24"/>
          <w:szCs w:val="24"/>
          <w:highlight w:val="none"/>
        </w:rPr>
        <w:t>当交流输入电压值达到“波动范围”上限或下限值的规定时，整流器可自动关机保护，当电网电压正常后，应能自动恢复工作。</w:t>
      </w:r>
    </w:p>
    <w:p>
      <w:pPr>
        <w:numPr>
          <w:ilvl w:val="1"/>
          <w:numId w:val="4"/>
        </w:numPr>
        <w:spacing w:line="360" w:lineRule="auto"/>
        <w:ind w:left="908" w:hanging="284"/>
        <w:rPr>
          <w:rFonts w:ascii="宋体" w:hAnsi="宋体" w:cs="宋体"/>
          <w:color w:val="auto"/>
          <w:sz w:val="24"/>
          <w:szCs w:val="24"/>
          <w:highlight w:val="none"/>
        </w:rPr>
      </w:pPr>
      <w:r>
        <w:rPr>
          <w:rFonts w:hint="eastAsia" w:ascii="宋体" w:hAnsi="宋体" w:cs="宋体"/>
          <w:color w:val="auto"/>
          <w:sz w:val="24"/>
          <w:szCs w:val="24"/>
          <w:highlight w:val="none"/>
        </w:rPr>
        <w:t>当直流输出电压值达到过压和欠压的设定值时，应能自动告警，过压时应能自动关机保护。</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直流输出限制电流范围可在其标称值的105%～110%。当达到限流值时，整流器仍能工作。同时还应有过流与短路的自动关机保护性能。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主电路应有熔断器保护性能。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在各种保护性能动作时，应能自动发出可闻可见告警信号。</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5、蓄电池组</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应采用全封闭阀控式铅酸蓄电池组。超过低压作业点时（一般为43V），蓄电池不应继续放电。蓄电池安装牢固，具有防震措施。蓄电池组应放置于柜中。</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蓄电池应为长寿命，设计浮充使用寿命可达10年以上（25℃）。维护应省力，使用期间无需补水。放电性能10小时率容量第一次即可达到100%。恒压充电（2.23V/单体•25℃）情况下，无需均衡充电。要求安全性高：采用柱式安全阀，开闭阀压力精密可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通信用阀控式密封铅酸蓄电池应符合YDT799-2010《通信用阀控式密封铅酸蓄电池》的规定。</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各通信站的蓄电池可采用长寿命的12V蓄电池。</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TS306.3  系统功能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本工程高频开关电源的系统功能要求如下：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1、遥控、遥测、遥信</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遥控开/关机和浮充/均衡转换。</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遥测输入电压、输入电流、各整流模块输出电压、电流；直流输出总电流、直流输出电压；电池充放电电流、电池电压。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遥信交流配电单元主要开关的开关状态、缺相、停电、市电恢复；各整流模块工作状态、浮充/均衡状态；各整流模块监控模块故障；直流输出过压、欠压，熔丝断等。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因此要求各站通信电源具有RS-232或RS-485/422通信接口。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2、保护及报警</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交流输入过压、欠压时，应能发出声光告警信号，并具有超时自动关机保护和电压正常时自动恢复功能；直流输出过、欠压时，应能发出声光告警信号；电池充电电流过大、电池电压过压、欠压时，应能发出声光告警信号；具有适应阀控式密封铅酸蓄电池温度补偿要求的自动调压功能。具有过流自动关机保护功能。限制电流范围可在其标称值的105%～110%之间调整，当输出电流达到限流值时，整流器应仍能限流工作。主电路应设熔断器（或断路器）保护，熔断器熔断时，应能发出声光告警。</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3、传导干扰：在10KHZ～30MHZ频段内，受试设备电源线上的传导干扰电平符合GB6833.9规定。</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4、辐射干扰：在10KHZ～1000MHZ频段内，受试设备的电磁辐射干扰电平符合GB6833.10规定。</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5、防雷：设备应具有完备的防雷保护装置。应能承受模拟雷击电压，波形为10/700μs，幅值为5KV的冲击5次，雷击电流波形为8/20μs，幅值为20KA的冲击5次，冲击间隔时间不小于1min。</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6、可闻噪声：自冷应小于50dB，要求设备采用自冷方式。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7、工作温度：保证性能：0℃～40℃，保证工作：-5℃～+45℃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8、相对湿度：保证性能：10%～90%（+35℃）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保证工作：5%～95%（+35℃）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9、可靠性指标：电源系统的平均无故障间隔时间（MTBF）≥10万小时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TS306.4  电源设备的配置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本项目无人通信站高频开关电源整流器的工作容量为48V/60A，配置1组48V/100AH的阀控式密封铅酸蓄电池组，供通信设备在交流断电的情况下正常工作。高频开关电源和蓄电池组内置在ONU设备中。</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TS307  通信系统接地技术要求</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TS307.1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通信系统的接地技术主要包括机房内的通信设备接地及传输线路光、电缆的防雷保护接地技术及实施措施。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通信系统的地网设计要考虑受房屋建筑的避雷防护接地、电力电源设备的防雷接地影响的因素。</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TS307.2  通信设备的防雷保护接地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1、站内的通信设备及其供电设备正常不带电的金属部分，电缆的金属护套均应做防雷保护接地。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2、通信站的接地方式，采用联合接地，即通信设备的工作地，保护地及建筑物的防雷接地共用一地网，通信站接地电阻小于1欧姆。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3、设备的保护地，工作地在地线总汇流排单点连接后汇集到地网，而在大楼内这三个地线子系统各自独立。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4、电源线、信号线、控制线应加装可靠的避雷装置。</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TS307.3  传输线路的防雷保护接地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1、进局光缆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光缆的铠装层、挡潮层、金属加强芯在进线室或传输室连接到地线汇流排。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光配线架ODF的接地端子应用不小于50mm</w:t>
      </w:r>
      <w:r>
        <w:rPr>
          <w:rFonts w:hint="eastAsia" w:ascii="宋体" w:hAnsi="宋体" w:cs="宋体"/>
          <w:color w:val="auto"/>
          <w:spacing w:val="6"/>
          <w:sz w:val="24"/>
          <w:szCs w:val="24"/>
          <w:highlight w:val="none"/>
          <w:vertAlign w:val="superscript"/>
        </w:rPr>
        <w:t>2</w:t>
      </w:r>
      <w:r>
        <w:rPr>
          <w:rFonts w:hint="eastAsia" w:ascii="宋体" w:hAnsi="宋体" w:cs="宋体"/>
          <w:color w:val="auto"/>
          <w:spacing w:val="6"/>
          <w:sz w:val="24"/>
          <w:szCs w:val="24"/>
          <w:highlight w:val="none"/>
        </w:rPr>
        <w:t>的多股铜导线就近连接到机房的地线汇流排。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2、局内布线</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局内布线电缆屏蔽层采用两端接地，以防止电、磁场干扰。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局内射频同轴布线电缆外导体和屏蔽电缆的屏蔽层两端应与所连接设备的金属机壳外表面有良好的电气接触。</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3、外场光电缆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在每个接头处的金属加强芯和金属护套实施电器阻断，光缆呈悬浮对地。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室外电缆所有接头处、分支点和终端处均作跨接线。电缆线路应做防雷保护系统接地，接地电阻小于10欧姆。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承包人应在技术建议书中对通信系统接地提出具体措施和方案。</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TS308  运营商网络租用</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为保证收费数据实时传输，ETC门架和收费站到省联网中心、部联网中心应建立可靠的通信链路，采用主备双链路，主用链路采用省内现有通信网络，备份通信链路可采用运营商专线或物联网。省联网中心到部联网中心复用已有跨省清分结算通信链路。</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TS308.1  部站通信传输</w:t>
      </w:r>
    </w:p>
    <w:p>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ETC门架数据、视频通过工业以太网交换机组成的环网传输至就近收费站服务器，经过服务器处理后，收费站统一出口实现至部联网中心的传输。</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收费站系统到部联网中心系统应建立安全、稳定、可靠的部站直传通信链路，确保车辆通行、运行检测、稽核数据实时上传，稽核图片支持远程调用。</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安徽省高速公路部站通信传输采用主、备链路传输方案，主、备链路均采用运营商物联网。</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1、方案概述</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各收费站设置无线路由器，通过虚拟专网的接入方式将车辆通行、运行监测、联合稽查数据实时传输到运营商的物联网平台，然后通过MSTP/SDH数据专线传输至部联网中心机房。</w:t>
      </w:r>
    </w:p>
    <w:p>
      <w:pPr>
        <w:spacing w:line="360" w:lineRule="auto"/>
        <w:ind w:firstLine="480" w:firstLineChars="200"/>
        <w:rPr>
          <w:rFonts w:ascii="宋体" w:hAnsi="宋体" w:cs="宋体"/>
          <w:color w:val="auto"/>
          <w:spacing w:val="6"/>
          <w:sz w:val="24"/>
          <w:szCs w:val="24"/>
          <w:highlight w:val="none"/>
        </w:rPr>
      </w:pPr>
      <w:r>
        <w:rPr>
          <w:rFonts w:hint="eastAsia" w:ascii="宋体" w:hAnsi="宋体" w:cs="宋体"/>
          <w:color w:val="auto"/>
          <w:sz w:val="24"/>
          <w:szCs w:val="24"/>
          <w:highlight w:val="none"/>
        </w:rPr>
        <w:t>部联网中心汇集运营商物联网平台上传的数据，同时设置L2TP网络服务器（LNS）,在收费站系统与LNS之间建立GRE/L2TP加密隧道，实现部站之间数据的加密传输。</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2、传输安全要求</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（1）认证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①用户设备侧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通过无线接入路由器作为无线终端对SIM卡进行绑定（IMSI识别码），做到一机一卡。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在无线接入路由器上添加SIM卡的开机PIN码，用以开启SIM。</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在后端网管系统上通过扩展认证，可以实现对用户名、密码和IMSI进行三码合一的验证。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②运营商无线网络侧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运用商为用户设置专有APN，并对无线用户的SIM卡信息（IMSI）进行绑定，只允许设定专有APN后的SIM用户通过专有APN、用户名、密码认证后接入无线VPN网络，防止非法SIM卡用户进入无线VPN网进行非法活动。</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此外，通过Ki/Akey码防止被复制。</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（2）授权</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①用户设备侧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用户设备侧对用户名、密码进行唯一性识别，在认证通过后固定分配IP地址。</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②运营商无线网络侧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采用隔离互联网访问的专用卡;基于运营商虚拟专网业务，采用专用APN，区别于公共的接入域，实现专网专用。运营商为高速公路无线网络设置虚拟专网，只有经过授权的用户才能接入此专网传输数据。</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（3）加密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①用户设备侧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无线路由器作为无线终端和LNS之间建立GRE/L2TP隧道，其上传输的数据均进行加密。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②运营商无线网络侧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4G接口空中加密，实现双向认证；具备接入链路信令数据的完整性保护。</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3、传输性能指标要求</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（1）站级通信设备所在机房无线信号强度指标RSRP（参考信号接收功率）和SINR（信号干扰噪声比）：RSRP≥-100dBm同时SINR＞3dB；</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（2）站级通信设备所在机房到部联网中心机房上行TCP/IP报文时延≤200ms；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（3）站级通信设备所在机房到部联网中心机房下行TCP/IP报文时延≤200ms；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（4）站级服务器所在机房到部联网中心机房上传速率≥1000Kbps；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（5）误块率（BLER）≤1%；</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（6）站级通信设备所在机房到部联网中心机房ping丢包率≤1%；</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（7）站级通信设备所在机房到部联网中心机房ping时延≤200ms。</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TS308.2  站-省联网中心通信传输</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1、ETC门架系统</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ETC门架系统服务器设置于收费站。ETC门架交易流水（或通信凭证）、视频图像通过工业以太网交换机组成的环网传输至就近收费站服务器，经过服务器处理后，收费站统一出口实现至省联网中心的传输。</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ETC门架系统至就近收费站的传输具体详见ETC门架系统相关设计。</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2、收费站</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收费站至路段中心、省联网中心应建立稳定、可靠的通信链路，确保交易数据、稽核数据和监测数据等实时上传以及MTC车辆通行费的快速计算及查询，通信链路亦采用主、备链路。</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（1）主用链路</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主用链路复用本项目新建的光纤数字传输系统+省内已建的PTN干线传输网络。</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（2）备用链路</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收费站设置无线路由器，通过虚拟专网的接入方式将车辆通行、运行监测、联合稽查等数据实时传输到运营商的物联网平台，然后通过MSTP/SDH数据专线传输至省联网中心。</w:t>
      </w:r>
    </w:p>
    <w:p>
      <w:pPr>
        <w:spacing w:line="360" w:lineRule="auto"/>
        <w:ind w:firstLine="482" w:firstLineChars="200"/>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传输性能指标要求：</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（1）各收费站传输链路带宽不小于2Mbps。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（2）主备链路切换时间≤1 分钟。</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（3）MTBF：≥10000 小时。</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（4）站级通信设备到省联网中心上行TCP/IP 报文时延≤200ms。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（5）站级通信设备到省联网中心下行TCP/IP 报文时延小于等于200ms。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（6）误块率（BLER）≤1%。</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（7）备用链路收费站到省联网中心机房ping 丢包率≤1%。</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（8）备用链路收费站到省联网中心机房ping 时延≤200ms。</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TS309  安装和完工测试</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工厂测试和现场测试应包括下列系统：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1、PTN传输系统；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2、光缆工程（含光缆线路自动监测系统）；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3、通信电源系统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承包人应提供进行各种模拟条件及测试所需的一切测试设备。</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TS309.2  光、电缆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1、出厂检查</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光、电缆均需业主或监理组派人到工厂检查。在业主或监理组派员到达前，承包人（或设备供应商）应准备好检查所需的仪表、工具和记录表格等各种条件，检查不合格的不得出厂。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2、开通验收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现场施工完毕，并经监理组对各项指标进行验收合格，光、电缆保持原设计要求时，方可进入通信系统下一道工序的施工。</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TS309.3  路段内PTN传输系统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在设备出厂前承包人应提供出厂指标测试的详细报告，还应模拟进行各种故障及应用条件的网管功能的测试，测试结果必须满足招标文件的要求。必要时业主将到场参加测试，测试结果经业主认可后设备方能出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2、在路段内PTN传输系统安装调试完成后，承包人应在监理组主持下，对以下项目进行测试，并向业主提出详细的本路段测试报告，所有的测试专用设备和仪器、仪表、工具由承包人自行配备。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光接口测试</w:t>
      </w:r>
    </w:p>
    <w:p>
      <w:pPr>
        <w:numPr>
          <w:ilvl w:val="0"/>
          <w:numId w:val="5"/>
        </w:numPr>
        <w:tabs>
          <w:tab w:val="left" w:pos="900"/>
          <w:tab w:val="clear" w:pos="1270"/>
        </w:tabs>
        <w:snapToGrid w:val="0"/>
        <w:spacing w:after="93" w:afterLines="30" w:line="336"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平均发送光功率</w:t>
      </w:r>
    </w:p>
    <w:p>
      <w:pPr>
        <w:numPr>
          <w:ilvl w:val="0"/>
          <w:numId w:val="5"/>
        </w:numPr>
        <w:tabs>
          <w:tab w:val="left" w:pos="900"/>
          <w:tab w:val="clear" w:pos="1270"/>
        </w:tabs>
        <w:snapToGrid w:val="0"/>
        <w:spacing w:after="93" w:afterLines="30" w:line="336"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接收机灵敏度</w:t>
      </w:r>
    </w:p>
    <w:p>
      <w:pPr>
        <w:numPr>
          <w:ilvl w:val="0"/>
          <w:numId w:val="5"/>
        </w:numPr>
        <w:tabs>
          <w:tab w:val="left" w:pos="900"/>
          <w:tab w:val="clear" w:pos="1270"/>
        </w:tabs>
        <w:snapToGrid w:val="0"/>
        <w:spacing w:after="93" w:afterLines="30" w:line="336"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接收机最小过载功率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电接口输入口允许比特率容差测试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PTN抖动性能测试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24小时误码率测试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时钟性能检查及测试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在现场全系统联网时，对各种传输、接入设备（ONU）进行各种网管功能测试。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3、在本路段测试结果合格后，将由业主安排第三方进行通信系统联网测试，测试结果合格为整个工程进入试运行的必要条件。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TS309.4  通信电源系统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现场施工完成后，并经监理组对交直流配电单元及整流器性能、蓄电池保护性能、电源网管等项目进行检查、测试，测试结果合格为整个工程进入试运行的必要条件。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TS309.5  测试报告</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承包人对各项测试结果均要做测试记录并提供测试报告及说明，类别如下：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(1)路段内PTN传输系统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(2)光电缆工程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(3)光缆自动监测系统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(4)通信电源系统</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TS309.6  设备安装与系统调试的检测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1、在设备安装调试完成后、交工验收前，承包人应在监理工程师的监督下按交通部“公路工程质量检验评定标准 第二册 机电工程”（</w:t>
      </w:r>
      <w:r>
        <w:rPr>
          <w:color w:val="auto"/>
          <w:highlight w:val="none"/>
        </w:rPr>
        <w:fldChar w:fldCharType="begin"/>
      </w:r>
      <w:r>
        <w:rPr>
          <w:color w:val="auto"/>
          <w:highlight w:val="none"/>
        </w:rPr>
        <w:instrText xml:space="preserve"> HYPERLINK "http://www.zjsis.com/DataCenter/Standard/StdDetail.aspx?ca=MjfzBzVoOik=&amp;docId=RJoUUKqQx%2B8=&amp;contentkey=RJoUUKqQx%2B8=" \t "_blank" </w:instrText>
      </w:r>
      <w:r>
        <w:rPr>
          <w:color w:val="auto"/>
          <w:highlight w:val="none"/>
        </w:rPr>
        <w:fldChar w:fldCharType="separate"/>
      </w:r>
      <w:r>
        <w:rPr>
          <w:rFonts w:hint="eastAsia" w:ascii="宋体" w:hAnsi="宋体" w:cs="宋体"/>
          <w:color w:val="auto"/>
          <w:spacing w:val="6"/>
          <w:sz w:val="24"/>
          <w:szCs w:val="24"/>
          <w:highlight w:val="none"/>
        </w:rPr>
        <w:t>JTG 2182-2020</w:t>
      </w:r>
      <w:r>
        <w:rPr>
          <w:rFonts w:hint="eastAsia" w:ascii="宋体" w:hAnsi="宋体" w:cs="宋体"/>
          <w:color w:val="auto"/>
          <w:spacing w:val="6"/>
          <w:sz w:val="24"/>
          <w:szCs w:val="24"/>
          <w:highlight w:val="none"/>
        </w:rPr>
        <w:fldChar w:fldCharType="end"/>
      </w:r>
      <w:r>
        <w:rPr>
          <w:rFonts w:hint="eastAsia" w:ascii="宋体" w:hAnsi="宋体" w:cs="宋体"/>
          <w:color w:val="auto"/>
          <w:spacing w:val="6"/>
          <w:sz w:val="24"/>
          <w:szCs w:val="24"/>
          <w:highlight w:val="none"/>
        </w:rPr>
        <w:t>）的要求进行系统自检，并提交自检报告。</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2、省厅质量监督站将在交工验收前委托具有相应资质的监测单位对整个通信系统进行交工质量检测。</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TS310 备件、随机备件和专用工具</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承包人所提供的设备备件，应充分考虑中国（尤其是安徽省）的情况，优先选择便于在当地市场采购的同等型号备件或其代用品。</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除工程量清单中要求的各类备件和工具外，承包人还应向业主提供各类设备的随机备件、专用工具。</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TS311  培训</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培训包括整个综合通信系统运行操作的各个方面。培训内容涉及所有设备的使用和说明。承包人对培训人员的技术熟练负责。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承包人应至少在每项培训开始一个星期之前将培训内容纲要交给业主认可。承包人在建议书中应根据业主培训要求，提出各阶段培训的详细计划，教材说明及所需费用。</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TS311.1  培训目的</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为了保证承包人所提供的设备能在运行中良好工作，必须为业主培训一批合格的维护工作人员、工程技术人员及管理人员。</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维护工作人员经培训后应能熟练的掌握包括软件及硬件维护工作，并能及时排除大部分设备故障。</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工程技术人员经培训后应能担任班组长工作，指导维护工作人员进行日常维护运行工作，能熟练的排除故障、管理设备。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管理人员应能负责全面的技术管理工作。</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TS311.2  培训内容</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1、路段内PTN传输系统 </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PTN系统的介绍</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光纤用户接入网系统介绍</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光纤用户接入网系统ONU设备的各种接口特性</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故障查找和故障检测实践，包括监视系统，告警识别及相应操作应配备件</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2、光、电缆</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特性测试</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施工规程</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接续</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故障判定，应急接续</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日常维护及测试</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3、光缆自动监测系统</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系统的基本原理及基本说明</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系统的应用</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维护管理系统功能</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报警识别及相应操作</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系统相关其他内容的培训</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4、通信电源系统</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高频开关电源设备的原理说明</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本工程电源系统的维护管理功能描述</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应配备件及易损件说明</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TS311.3  培训人员及方式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培训人员分成二类：系统管理员、维护人员。</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培训方式为现场培训。</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参加培训的系统管理员共4人，培训周期不得少于2周；参加培训的维护人员共4人，培训周期不得少于1周。</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TS311.4  培训教材</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承包人提供各种培训的详细计划及培训教材（中文）。教材应保证每个学员有一整套。承包人所提供的教师应用中文讲解，另外要熟悉本专业并有教学经验。</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培训教材内容应包括：</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相关设备的安装，调试和维护工作</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培训用的教材应提供最新的，并与所供应设备一致的版本并保证每个学员都能得到一套完整的教材。</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承包人应提供培训人员实习所需的设备、工具、测试仪表及器件等材料。</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TS312  技术资料文件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承包人应按以下项目分别提供通信系统的技术资料文件，所有的技术资料文件均为竣工文件的一部分。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所有技术手册应打印清楚并含有足够内容，以便将来维护人员能完全操作和维护这些设备。</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TS312.2  工程设计资料</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承包人应提供本工程通信系统工程设计资料，该资料应对本工程通信系统的系统结构进行说明，如路段内PTN传输系统，语音软交换系统，光、电缆工程的设计、说明资料。</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TS312.3  系统说明手册</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下列项目应单独提供系统说明手册，如：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1、路段内PTN传输系统</w:t>
      </w:r>
    </w:p>
    <w:p>
      <w:pPr>
        <w:spacing w:line="360" w:lineRule="auto"/>
        <w:ind w:left="445" w:leftChars="212"/>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2、光、电缆工程</w:t>
      </w:r>
    </w:p>
    <w:p>
      <w:pPr>
        <w:spacing w:line="360" w:lineRule="auto"/>
        <w:ind w:left="445" w:leftChars="212"/>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3、光缆自动监测系统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4、通信电源系统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每份说明手册至少应包括下列内容：</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1、设计、运行、构成和设备的总体说明；</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2、本合同所包括的每个系统，子系统以及组装的方框图和示意图；</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3、每项硬件设备的总体布置和配置图，包括硬件之间的关系；</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4、各种图纸，包括正视、外形、总体尺寸、组装、安装尺寸及细节，终端配置和电缆引入；</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5、组装及电缆柜/架的互连接线图，包括外部配线及终端接线盒；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6、所有的接口说明；</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7、各个子系统的运用原理。说明应附详细方框图、数据流程和示意图；</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8、电路图和相应图示；</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9、设备目录。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10、所有硬件设计的运用介绍，说明和原理以及维护</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11、电路接口标准</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TS312.4  操作和维护说明资料</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应提供本工程各系统操作和维护手册，内容如下：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1、操作说明，内容包括完全又简要操作细则，对整套设备及其功能作出概括阐述。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2、维护和管理说明，对如何进行维护和操作的程序及规定作出阐述，例如，审查、改变构成、测试、服务、故障诊断修理、移动、拆卸、重新组装以及更换，备品目录维护专用工具等。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3、维护手册应包括完全又简要的细则，应有检查计划和元器件目录，包括每项设备，厂家名称和每个元器件的号码。</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TS312.5  软件说明资料</w:t>
      </w:r>
    </w:p>
    <w:p>
      <w:pPr>
        <w:spacing w:line="360" w:lineRule="auto"/>
        <w:ind w:firstLine="504" w:firstLineChars="200"/>
        <w:rPr>
          <w:rFonts w:hint="eastAsia" w:ascii="宋体" w:hAnsi="宋体" w:cs="宋体"/>
          <w:color w:val="auto"/>
          <w:spacing w:val="6"/>
          <w:sz w:val="24"/>
          <w:szCs w:val="24"/>
          <w:highlight w:val="none"/>
        </w:rPr>
      </w:pPr>
      <w:r>
        <w:rPr>
          <w:rFonts w:hint="eastAsia" w:ascii="宋体" w:hAnsi="宋体" w:cs="宋体"/>
          <w:color w:val="auto"/>
          <w:spacing w:val="6"/>
          <w:sz w:val="24"/>
          <w:szCs w:val="24"/>
          <w:highlight w:val="none"/>
        </w:rPr>
        <w:t>除上述外，应为各种设备和维护网管系统提供软件说明，其应包括（不局限于此）程序功能，指令以及错误信息的完整目录（应对每项给予阐述），系统启动程序。</w:t>
      </w:r>
    </w:p>
    <w:p>
      <w:pPr>
        <w:pStyle w:val="220"/>
        <w:spacing w:before="312" w:after="31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TS31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通信管道</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.1范围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1、预埋通信系统管道和监控、供电电缆管道材料应符合图纸要求，并符合国家有关标准和规定。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2、人、手孔井盖的技术要求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本项目人孔（手）孔井盖、井盖座材料采用不饱和聚酯树脂为基体材料，加入增强材料、填充料等，通过一定工艺复合而成的热固性复合材料。井盖采用高温高压一次</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"https://baike.baidu.com/item/%E6%A8%A1%E5%8E%8B%E6%88%90%E5%9E%8B/10598490?fromModule=lemma_inlink"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模压成型</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技术，内部使用网状钢筋增强。井盖与井盖座为成套产品。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不饱和聚酯树脂符合GB/T 8237的规定。井盖应符合</w:t>
      </w:r>
      <w:r>
        <w:rPr>
          <w:rFonts w:hint="eastAsia" w:ascii="宋体" w:hAnsi="宋体" w:eastAsia="宋体" w:cs="宋体"/>
          <w:color w:val="auto"/>
          <w:sz w:val="24"/>
          <w:szCs w:val="24"/>
          <w:highlight w:val="none"/>
          <w:lang w:val="en-US" w:eastAsia="zh-CN"/>
        </w:rPr>
        <w:t>GB</w:t>
      </w:r>
      <w:r>
        <w:rPr>
          <w:rFonts w:hint="eastAsia" w:ascii="宋体" w:hAnsi="宋体" w:eastAsia="宋体" w:cs="宋体"/>
          <w:color w:val="auto"/>
          <w:sz w:val="24"/>
          <w:szCs w:val="24"/>
          <w:highlight w:val="none"/>
        </w:rPr>
        <w:t xml:space="preserve">/T </w:t>
      </w:r>
      <w:r>
        <w:rPr>
          <w:rFonts w:hint="eastAsia" w:ascii="宋体" w:hAnsi="宋体" w:eastAsia="宋体" w:cs="宋体"/>
          <w:color w:val="auto"/>
          <w:sz w:val="24"/>
          <w:szCs w:val="24"/>
          <w:highlight w:val="none"/>
          <w:lang w:val="en-US" w:eastAsia="zh-CN"/>
        </w:rPr>
        <w:t>24721.1-2023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公路用玻璃纤维增强塑料产品</w:t>
      </w:r>
      <w:r>
        <w:rPr>
          <w:rFonts w:hint="eastAsia" w:ascii="宋体" w:hAnsi="宋体" w:eastAsia="宋体" w:cs="宋体"/>
          <w:color w:val="auto"/>
          <w:sz w:val="24"/>
          <w:szCs w:val="24"/>
          <w:highlight w:val="none"/>
          <w:lang w:val="en-US" w:eastAsia="zh-CN"/>
        </w:rPr>
        <w:t xml:space="preserve"> 第1部分：通则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 xml:space="preserve">GB/T </w:t>
      </w:r>
      <w:r>
        <w:rPr>
          <w:rFonts w:hint="eastAsia" w:ascii="宋体" w:hAnsi="宋体" w:eastAsia="宋体" w:cs="宋体"/>
          <w:color w:val="auto"/>
          <w:sz w:val="24"/>
          <w:szCs w:val="24"/>
          <w:highlight w:val="none"/>
          <w:lang w:val="en-US" w:eastAsia="zh-CN"/>
        </w:rPr>
        <w:t>24721.4</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公路用玻璃纤维增强塑料产品</w:t>
      </w:r>
      <w:r>
        <w:rPr>
          <w:rFonts w:hint="eastAsia" w:ascii="宋体" w:hAnsi="宋体" w:eastAsia="宋体" w:cs="宋体"/>
          <w:color w:val="auto"/>
          <w:sz w:val="24"/>
          <w:szCs w:val="24"/>
          <w:highlight w:val="none"/>
          <w:lang w:val="en-US" w:eastAsia="zh-CN"/>
        </w:rPr>
        <w:t xml:space="preserve"> 第4部分：非承压通信井盖</w:t>
      </w:r>
      <w:r>
        <w:rPr>
          <w:rFonts w:hint="eastAsia" w:ascii="宋体" w:hAnsi="宋体" w:eastAsia="宋体" w:cs="宋体"/>
          <w:color w:val="auto"/>
          <w:sz w:val="24"/>
          <w:szCs w:val="24"/>
          <w:highlight w:val="none"/>
        </w:rPr>
        <w:t>》的规定。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外观要求：井盖</w:t>
      </w:r>
      <w:r>
        <w:rPr>
          <w:rFonts w:hint="eastAsia" w:ascii="宋体" w:hAnsi="宋体" w:eastAsia="宋体" w:cs="宋体"/>
          <w:color w:val="auto"/>
          <w:sz w:val="24"/>
          <w:szCs w:val="24"/>
          <w:highlight w:val="none"/>
          <w:lang w:eastAsia="zh-CN"/>
        </w:rPr>
        <w:t>与支座</w:t>
      </w:r>
      <w:r>
        <w:rPr>
          <w:rFonts w:hint="eastAsia" w:ascii="宋体" w:hAnsi="宋体" w:eastAsia="宋体" w:cs="宋体"/>
          <w:color w:val="auto"/>
          <w:sz w:val="24"/>
          <w:szCs w:val="24"/>
          <w:highlight w:val="none"/>
        </w:rPr>
        <w:t>表面应</w:t>
      </w:r>
      <w:r>
        <w:rPr>
          <w:rFonts w:hint="eastAsia" w:ascii="宋体" w:hAnsi="宋体" w:eastAsia="宋体" w:cs="宋体"/>
          <w:color w:val="auto"/>
          <w:sz w:val="24"/>
          <w:szCs w:val="24"/>
          <w:highlight w:val="none"/>
          <w:lang w:eastAsia="zh-CN"/>
        </w:rPr>
        <w:t>平整、色泽均匀，不应有起皱、裂纹、颗粒、流胶、树脂剥落、增强材料裸露和表面发粘等缺陷；</w:t>
      </w:r>
      <w:r>
        <w:rPr>
          <w:rFonts w:hint="eastAsia" w:ascii="宋体" w:hAnsi="宋体" w:eastAsia="宋体" w:cs="宋体"/>
          <w:color w:val="auto"/>
          <w:sz w:val="24"/>
          <w:szCs w:val="24"/>
          <w:highlight w:val="none"/>
          <w:lang w:val="en-US" w:eastAsia="zh-CN"/>
        </w:rPr>
        <w:t>含胶量均匀、固化稳定。无分层，单件产品表面的气泡累积面积不得大于100</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单个气泡面积不得大于15</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井盖与井座的接触面应平整、光滑。</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结构尺寸：井盖厚度不小于4cm，井盖上表面应有</w:t>
      </w:r>
      <w:r>
        <w:rPr>
          <w:rFonts w:hint="eastAsia" w:ascii="宋体" w:hAnsi="宋体" w:eastAsia="宋体" w:cs="宋体"/>
          <w:color w:val="auto"/>
          <w:sz w:val="24"/>
          <w:szCs w:val="24"/>
          <w:highlight w:val="none"/>
          <w:lang w:eastAsia="zh-CN"/>
        </w:rPr>
        <w:t>凸起高度为</w:t>
      </w:r>
      <w:r>
        <w:rPr>
          <w:rFonts w:hint="eastAsia" w:ascii="宋体" w:hAnsi="宋体" w:eastAsia="宋体" w:cs="宋体"/>
          <w:color w:val="auto"/>
          <w:sz w:val="24"/>
          <w:szCs w:val="24"/>
          <w:highlight w:val="none"/>
          <w:lang w:val="en-US" w:eastAsia="zh-CN"/>
        </w:rPr>
        <w:t>2mm~5mm的</w:t>
      </w:r>
      <w:r>
        <w:rPr>
          <w:rFonts w:hint="eastAsia" w:ascii="宋体" w:hAnsi="宋体" w:eastAsia="宋体" w:cs="宋体"/>
          <w:color w:val="auto"/>
          <w:sz w:val="24"/>
          <w:szCs w:val="24"/>
          <w:highlight w:val="none"/>
        </w:rPr>
        <w:t>防滑花纹，</w:t>
      </w:r>
      <w:r>
        <w:rPr>
          <w:rFonts w:hint="eastAsia" w:ascii="宋体" w:hAnsi="宋体" w:eastAsia="宋体" w:cs="宋体"/>
          <w:color w:val="auto"/>
          <w:sz w:val="24"/>
          <w:szCs w:val="24"/>
          <w:highlight w:val="none"/>
          <w:lang w:eastAsia="zh-CN"/>
        </w:rPr>
        <w:t>且标识应清晰。</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尺寸偏差：支座孔口尺寸允许偏差为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10mm</w:t>
      </w:r>
      <w:r>
        <w:rPr>
          <w:rFonts w:hint="eastAsia" w:ascii="宋体" w:hAnsi="宋体" w:eastAsia="宋体" w:cs="宋体"/>
          <w:color w:val="auto"/>
          <w:sz w:val="24"/>
          <w:szCs w:val="24"/>
          <w:highlight w:val="none"/>
          <w:lang w:eastAsia="zh-CN"/>
        </w:rPr>
        <w:t>；井盖公称外径或边长允许偏差为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4mm。</w:t>
      </w:r>
    </w:p>
    <w:p>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通用物理力学性能：密度≥1.6g/cm3，巴柯尔硬度≥45，阻燃性能不低于阻燃3级（氧指数≥26%），烟密度等级不应大于75%。</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承载能力：单块井盖承载能力不小于15kN。</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增强材料的性能指标应符合GB/T 17470、GB/T 18369、GB/T 18370、GB/T 18371的要求，不应使</w:t>
      </w:r>
      <w:r>
        <w:rPr>
          <w:rFonts w:hint="default" w:ascii="宋体" w:hAnsi="宋体" w:eastAsia="宋体" w:cs="宋体"/>
          <w:color w:val="auto"/>
          <w:sz w:val="24"/>
          <w:szCs w:val="24"/>
          <w:highlight w:val="none"/>
          <w:lang w:val="en-US" w:eastAsia="zh-CN"/>
        </w:rPr>
        <w:t>用高碱玻璃纤维制品。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3、HDPE高密度聚乙烯硅芯管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硅芯管应符合交通行业JT/T496-2018&lt;&lt;公路地下通信管道高密度聚乙烯硅芯塑料管&gt;&gt;。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原材料：生产硅芯管的主料应使用符合GB/T11115-2009中5.2.2的要求，不得使用回用料。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工艺外观: 外观颜色均匀一致；内外壁实体应光滑、平整、均匀，无塌陷、坑凹、孔洞、撕裂痕迹及杂质麻点等缺陷；截面无气泡、裂痕；硅芯管内壁紧密熔结、无脱开现象；外壁上产品标识完整、清楚；孔与孔之间颜色宜采用明显标志区分开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规格尺寸：采用Φ40/33规格产品（外径Φ40mm,内径Φ33mm）；管材壁厚偏差不大于（+0.35mm，-0.20mm）；不圆度绕盘前不大于2.5%,绕盘后不大于3.5%。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物理化学性能指标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外壁硬度≥59HD；</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内壁摩擦系数:静态≤0.25（平板法），动态≤0.15；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拉伸屈服强度≥21MPa，断裂伸长率≥500%，最大牵引负荷≥8000N，冷弯曲半径400mm，，环刚度≥50kN/m2，抗裂强度无明线鼓胀、无渗漏、不破裂，纵向收缩率≤3.0%；</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复原率：垂直方向加压至外径变形量为原半径的50%时，立即卸荷，试验不破裂、不分层，10min外径能自然恢复到原来的85%以上；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与管接头的连接力≥6700N；</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脆化温度，-75</w:t>
      </w:r>
      <w:r>
        <w:rPr>
          <w:rFonts w:hint="eastAsia" w:ascii="宋体" w:hAnsi="宋体" w:eastAsia="宋体" w:cs="宋体"/>
          <w:color w:val="auto"/>
          <w:sz w:val="24"/>
          <w:szCs w:val="24"/>
          <w:highlight w:val="none"/>
        </w:rPr>
        <w:sym w:font="Symbol" w:char="F0B0"/>
      </w:r>
      <w:r>
        <w:rPr>
          <w:rFonts w:hint="eastAsia" w:ascii="宋体" w:hAnsi="宋体" w:eastAsia="宋体" w:cs="宋体"/>
          <w:color w:val="auto"/>
          <w:sz w:val="24"/>
          <w:szCs w:val="24"/>
          <w:highlight w:val="none"/>
        </w:rPr>
        <w:t>C。</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硅芯管专用连接头和管塞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硅芯管应使用专用连接头连接，专用连接头应符合规范要求；硅芯管两端应使用膨胀管塞和（或）热塑套管密封以防止潮气或尘土进入管内，管塞的密封性能应满足耐水压密封试验的要求。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硅芯管表面每间隔1m，按照规定印制产品型号，并加上生产日期、盘号和本盘的累计长度。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管材应具有国家级材料测试中心的测试报告和国家交通安全设施质量监督检验中心的检测报告。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4、钢管、螺栓和其它连接件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管道采用钢管时，钢管钢材牌号采用Q235。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钢管、螺栓和其它连接件所用的钢材应符合国家最新有关标准和规定。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钢管的材质、规格、型号、应符合设计文件的有关规定，不得有严重锈蚀。钢管的内径负偏差应不大于1mm,管壁应光滑、无裂缝、无节疤。钢管采用热浸镀锌焊接钢管。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各种钢件的材质、规格及防锈处理等均应符合国家有关质量标准,不得有歪斜、扭曲、飞刺、断裂或破损。除钢筋以外所有钢构件均需做热浸镀锌处理,镀锌量为600g/m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,镀层应均匀完整,表面光洁、无脱落、无气泡等缺陷。热浸镀锌所用的锌为《锌锭》（GB/T470-2008）中规定的0号锌或1号锌。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高强抗紫外耐候型玻璃钢管箱</w:t>
      </w:r>
      <w:r>
        <w:rPr>
          <w:rFonts w:hint="eastAsia" w:ascii="宋体" w:hAnsi="宋体" w:eastAsia="宋体" w:cs="宋体"/>
          <w:color w:val="auto"/>
          <w:sz w:val="24"/>
          <w:szCs w:val="24"/>
          <w:highlight w:val="none"/>
        </w:rPr>
        <w:t>的技术要求</w:t>
      </w:r>
    </w:p>
    <w:p>
      <w:pPr>
        <w:spacing w:line="360" w:lineRule="auto"/>
        <w:ind w:firstLine="480" w:firstLineChars="200"/>
        <w:rPr>
          <w:rFonts w:hint="eastAsia" w:ascii="仿宋_GB2312" w:eastAsia="仿宋_GB2312"/>
          <w:color w:val="auto"/>
          <w:sz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高强抗紫外耐候型玻璃钢管箱（以下简称“玻璃钢管箱”）</w:t>
      </w:r>
      <w:r>
        <w:rPr>
          <w:rFonts w:hint="eastAsia" w:ascii="宋体" w:hAnsi="宋体" w:eastAsia="宋体" w:cs="宋体"/>
          <w:color w:val="auto"/>
          <w:sz w:val="24"/>
          <w:szCs w:val="24"/>
          <w:highlight w:val="none"/>
        </w:rPr>
        <w:t>为定型成套产品，必须经过国家交通安全设施质量监督检验中心检测后，方可投入使用。过桥支撑件等所用铁件全部是加工成形热浸镀锌产品，镀锌量为600g/m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，并在铁件焊接处，刷2～3遍锌粉。螺栓、螺帽等紧固件镀锌量为350g/m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。所有螺帽连接处均需加弹簧垫圈。</w:t>
      </w:r>
      <w:r>
        <w:rPr>
          <w:rFonts w:hint="eastAsia" w:ascii="宋体" w:hAnsi="宋体" w:eastAsia="宋体" w:cs="宋体"/>
          <w:color w:val="auto"/>
          <w:sz w:val="24"/>
          <w:szCs w:val="24"/>
          <w:highlight w:val="none"/>
          <w:lang w:val="en-US" w:eastAsia="zh-CN"/>
        </w:rPr>
        <w:t>玻璃钢管箱必须符合国家标准GB/T 24721.1-2023《公路用玻璃纤维增强塑料产品 第1部分：通则》及GB/T 24721.2-2023《公路用玻璃纤维增强塑料产品 第2部分：管箱》的要求,材质为高强型聚氨酯复合材料。</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（2）外观</w:t>
      </w:r>
      <w:r>
        <w:rPr>
          <w:rFonts w:hint="eastAsia" w:ascii="宋体" w:hAnsi="宋体" w:eastAsia="宋体" w:cs="宋体"/>
          <w:color w:val="auto"/>
          <w:sz w:val="24"/>
          <w:szCs w:val="24"/>
          <w:highlight w:val="none"/>
          <w:lang w:eastAsia="zh-CN"/>
        </w:rPr>
        <w:t>质量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玻璃钢管箱应外形平直，无明显歪斜，管箱盖与管箱体配合紧密；</w:t>
      </w:r>
      <w:r>
        <w:rPr>
          <w:rFonts w:hint="eastAsia" w:ascii="宋体" w:hAnsi="宋体" w:cs="宋体"/>
          <w:color w:val="auto"/>
          <w:sz w:val="24"/>
          <w:szCs w:val="24"/>
          <w:highlight w:val="none"/>
          <w:lang w:val="en-US" w:eastAsia="zh-CN"/>
        </w:rPr>
        <w:t>管箱内、外壁进行抗紫外耐候涂层，</w:t>
      </w:r>
      <w:r>
        <w:rPr>
          <w:rFonts w:hint="eastAsia" w:ascii="宋体" w:hAnsi="宋体" w:eastAsia="宋体" w:cs="宋体"/>
          <w:color w:val="auto"/>
          <w:sz w:val="24"/>
          <w:szCs w:val="24"/>
          <w:highlight w:val="none"/>
          <w:lang w:val="en-US" w:eastAsia="zh-CN"/>
        </w:rPr>
        <w:t>涂装涂层表面应平整，均匀一致，无漏涂、起泡、裂纹等缺陷；含胶量均匀、固化稳定。无分层，单件产品表面的气泡累积面积不得大于100</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单个气泡面积不得大于15</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的尺寸偏差应符合下列规定：</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考虑到管箱表面涂装需求，玻璃钢管箱的壁厚采用</w:t>
      </w:r>
      <w:r>
        <w:rPr>
          <w:rFonts w:hint="eastAsia" w:ascii="宋体" w:hAnsi="宋体" w:eastAsia="宋体" w:cs="宋体"/>
          <w:color w:val="auto"/>
          <w:sz w:val="24"/>
          <w:szCs w:val="24"/>
          <w:highlight w:val="none"/>
          <w:lang w:val="en-US" w:eastAsia="zh-CN"/>
        </w:rPr>
        <w:t>3mm；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长度允许偏差为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宽度、高度允许偏差为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壁厚</w:t>
      </w:r>
      <w:r>
        <w:rPr>
          <w:rFonts w:hint="eastAsia" w:ascii="宋体" w:hAnsi="宋体" w:eastAsia="宋体" w:cs="宋体"/>
          <w:color w:val="auto"/>
          <w:sz w:val="24"/>
          <w:szCs w:val="24"/>
          <w:highlight w:val="none"/>
        </w:rPr>
        <w:t>允许偏差为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的物理力学性能应满足下表的要求：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的通用物理力学性能</w:t>
      </w:r>
    </w:p>
    <w:tbl>
      <w:tblPr>
        <w:tblStyle w:val="63"/>
        <w:tblW w:w="4946" w:type="pct"/>
        <w:jc w:val="center"/>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609"/>
        <w:gridCol w:w="2149"/>
        <w:gridCol w:w="1034"/>
        <w:gridCol w:w="4638"/>
      </w:tblGrid>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33"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技术要求</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拉伸强度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MPa</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管箱长度方向≥</w:t>
            </w:r>
            <w:r>
              <w:rPr>
                <w:rFonts w:hint="eastAsia" w:ascii="宋体" w:hAnsi="宋体" w:eastAsia="宋体" w:cs="宋体"/>
                <w:color w:val="auto"/>
                <w:sz w:val="24"/>
                <w:szCs w:val="24"/>
                <w:highlight w:val="none"/>
              </w:rPr>
              <w:t>560</w:t>
            </w:r>
            <w:r>
              <w:rPr>
                <w:rFonts w:hint="eastAsia" w:ascii="宋体" w:hAnsi="宋体" w:eastAsia="宋体" w:cs="宋体"/>
                <w:color w:val="auto"/>
                <w:sz w:val="24"/>
                <w:szCs w:val="24"/>
                <w:highlight w:val="none"/>
                <w:lang w:eastAsia="zh-CN"/>
              </w:rPr>
              <w:t>，管箱宽度方向≥</w:t>
            </w:r>
            <w:r>
              <w:rPr>
                <w:rFonts w:hint="eastAsia" w:ascii="宋体" w:hAnsi="宋体" w:eastAsia="宋体" w:cs="宋体"/>
                <w:color w:val="auto"/>
                <w:sz w:val="24"/>
                <w:szCs w:val="24"/>
                <w:highlight w:val="none"/>
                <w:lang w:val="en-US" w:eastAsia="zh-CN"/>
              </w:rPr>
              <w:t>200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弯曲强度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MPa</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管箱长度方向≥</w:t>
            </w:r>
            <w:r>
              <w:rPr>
                <w:rFonts w:hint="eastAsia" w:ascii="宋体" w:hAnsi="宋体" w:eastAsia="宋体" w:cs="宋体"/>
                <w:color w:val="auto"/>
                <w:sz w:val="24"/>
                <w:szCs w:val="24"/>
                <w:highlight w:val="none"/>
                <w:lang w:val="en-US" w:eastAsia="zh-CN"/>
              </w:rPr>
              <w:t>72</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eastAsia="zh-CN"/>
              </w:rPr>
              <w:t>，管箱宽度方向≥</w:t>
            </w:r>
            <w:r>
              <w:rPr>
                <w:rFonts w:hint="eastAsia" w:ascii="宋体" w:hAnsi="宋体" w:eastAsia="宋体" w:cs="宋体"/>
                <w:color w:val="auto"/>
                <w:sz w:val="24"/>
                <w:szCs w:val="24"/>
                <w:highlight w:val="none"/>
                <w:lang w:val="en-US" w:eastAsia="zh-CN"/>
              </w:rPr>
              <w:t>560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冲击强度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kJ/㎡</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200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密度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 cm³</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1.9</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巴柯尔硬度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45</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负荷变形温度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150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管箱内壁静摩擦系数</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0.363</w:t>
            </w:r>
          </w:p>
        </w:tc>
      </w:tr>
    </w:tbl>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（5）整体负载：</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整体负载除包括其本身的重量外，还应包括其他所能承受的</w:t>
      </w:r>
      <w:r>
        <w:rPr>
          <w:rFonts w:hint="eastAsia" w:ascii="宋体" w:hAnsi="宋体" w:eastAsia="宋体" w:cs="宋体"/>
          <w:color w:val="auto"/>
          <w:sz w:val="24"/>
          <w:szCs w:val="24"/>
          <w:highlight w:val="none"/>
          <w:lang w:eastAsia="zh-CN"/>
        </w:rPr>
        <w:t>管道、光缆、</w:t>
      </w:r>
      <w:r>
        <w:rPr>
          <w:rFonts w:hint="eastAsia" w:ascii="宋体" w:hAnsi="宋体" w:eastAsia="宋体" w:cs="宋体"/>
          <w:color w:val="auto"/>
          <w:sz w:val="24"/>
          <w:szCs w:val="24"/>
          <w:highlight w:val="none"/>
        </w:rPr>
        <w:t>电缆重量以及施工过程中的负载。负载能力不小于20kPa。</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阻燃性能：阻燃</w:t>
      </w:r>
      <w:r>
        <w:rPr>
          <w:rFonts w:hint="eastAsia" w:ascii="宋体" w:hAnsi="宋体" w:eastAsia="宋体" w:cs="宋体"/>
          <w:color w:val="auto"/>
          <w:sz w:val="24"/>
          <w:szCs w:val="24"/>
          <w:highlight w:val="none"/>
          <w:lang w:val="en-US" w:eastAsia="zh-CN"/>
        </w:rPr>
        <w:t>1级，</w:t>
      </w:r>
      <w:r>
        <w:rPr>
          <w:rFonts w:hint="eastAsia" w:ascii="宋体" w:hAnsi="宋体" w:eastAsia="宋体" w:cs="宋体"/>
          <w:color w:val="auto"/>
          <w:sz w:val="24"/>
          <w:szCs w:val="24"/>
          <w:highlight w:val="none"/>
        </w:rPr>
        <w:t>氧指数应不小于</w:t>
      </w: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垂直燃烧</w:t>
      </w:r>
      <w:r>
        <w:rPr>
          <w:rFonts w:hint="eastAsia" w:ascii="宋体" w:hAnsi="宋体" w:eastAsia="宋体" w:cs="宋体"/>
          <w:color w:val="auto"/>
          <w:sz w:val="24"/>
          <w:szCs w:val="24"/>
          <w:highlight w:val="none"/>
          <w:lang w:val="en-US" w:eastAsia="zh-CN"/>
        </w:rPr>
        <w:t>V-0</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）烟密度：烟密度等级不应大于</w:t>
      </w:r>
      <w:r>
        <w:rPr>
          <w:rFonts w:hint="eastAsia" w:ascii="宋体" w:hAnsi="宋体" w:eastAsia="宋体" w:cs="宋体"/>
          <w:color w:val="auto"/>
          <w:sz w:val="24"/>
          <w:szCs w:val="24"/>
          <w:highlight w:val="none"/>
          <w:lang w:val="en-US" w:eastAsia="zh-CN"/>
        </w:rPr>
        <w:t>75%。</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）附着性能</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对于表面进行涂装的试样,经划格试验后,试验结果应达到 GB/T9286中1级要求。</w:t>
      </w:r>
    </w:p>
    <w:p>
      <w:pPr>
        <w:keepNext w:val="0"/>
        <w:keepLines w:val="0"/>
        <w:widowControl/>
        <w:suppressLineNumbers w:val="0"/>
        <w:wordWrap w:val="0"/>
        <w:spacing w:before="0" w:beforeAutospacing="0" w:after="0" w:afterAutospacing="0" w:line="360" w:lineRule="auto"/>
        <w:ind w:left="226" w:right="0" w:firstLine="480" w:firstLineChars="20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（9）要求：钢管箱颜色应采用与公路环境相协调的颜色，推荐采用RAL7042（交通灰A），涂层颜色保持时间≥20年</w:t>
      </w:r>
      <w:r>
        <w:rPr>
          <w:rFonts w:hint="eastAsia" w:ascii="宋体" w:hAnsi="宋体" w:eastAsia="宋体" w:cs="宋体"/>
          <w:b/>
          <w:bCs/>
          <w:color w:val="auto"/>
          <w:kern w:val="0"/>
          <w:sz w:val="24"/>
          <w:szCs w:val="24"/>
          <w:highlight w:val="none"/>
          <w:lang w:val="en-US" w:eastAsia="zh-CN" w:bidi="ar"/>
        </w:rPr>
        <w:t>，材质为高强型聚氨酯复合材料。</w:t>
      </w:r>
    </w:p>
    <w:p>
      <w:pPr>
        <w:keepNext w:val="0"/>
        <w:keepLines w:val="0"/>
        <w:widowControl/>
        <w:suppressLineNumbers w:val="0"/>
        <w:wordWrap w:val="0"/>
        <w:spacing w:before="0" w:beforeAutospacing="0" w:after="0" w:afterAutospacing="0" w:line="360" w:lineRule="auto"/>
        <w:ind w:left="226" w:right="0" w:firstLine="480" w:firstLineChars="200"/>
        <w:jc w:val="left"/>
        <w:rPr>
          <w:rFonts w:hint="eastAsia" w:ascii="宋体" w:hAnsi="宋体" w:eastAsia="宋体" w:cs="宋体"/>
          <w:b/>
          <w:bCs/>
          <w:color w:val="auto"/>
          <w:kern w:val="0"/>
          <w:sz w:val="24"/>
          <w:szCs w:val="24"/>
          <w:highlight w:val="none"/>
          <w:lang w:val="en-US" w:eastAsia="zh-CN" w:bidi="ar"/>
        </w:rPr>
      </w:pPr>
      <w:r>
        <w:rPr>
          <w:rFonts w:hint="eastAsia" w:ascii="宋体" w:hAnsi="宋体" w:cs="宋体"/>
          <w:color w:val="auto"/>
          <w:sz w:val="24"/>
          <w:szCs w:val="24"/>
          <w:highlight w:val="none"/>
        </w:rPr>
        <w:t>（10）增强材料的性能指标应符合</w:t>
      </w:r>
      <w:bookmarkStart w:id="29" w:name="OLE_LINK2"/>
      <w:r>
        <w:rPr>
          <w:rFonts w:hint="eastAsia" w:ascii="宋体" w:hAnsi="宋体" w:cs="宋体"/>
          <w:color w:val="auto"/>
          <w:sz w:val="24"/>
          <w:szCs w:val="24"/>
          <w:highlight w:val="none"/>
        </w:rPr>
        <w:t>GB/ T</w:t>
      </w:r>
      <w:bookmarkEnd w:id="29"/>
      <w:r>
        <w:rPr>
          <w:rFonts w:hint="eastAsia" w:ascii="宋体" w:hAnsi="宋体" w:cs="宋体"/>
          <w:color w:val="auto"/>
          <w:sz w:val="24"/>
          <w:szCs w:val="24"/>
          <w:highlight w:val="none"/>
        </w:rPr>
        <w:t>17470、GB/T18369、</w:t>
      </w:r>
      <w:bookmarkStart w:id="30" w:name="OLE_LINK3"/>
      <w:bookmarkStart w:id="31" w:name="OLE_LINK4"/>
      <w:r>
        <w:rPr>
          <w:rFonts w:hint="eastAsia" w:ascii="宋体" w:hAnsi="宋体" w:cs="宋体"/>
          <w:color w:val="auto"/>
          <w:sz w:val="24"/>
          <w:szCs w:val="24"/>
          <w:highlight w:val="none"/>
        </w:rPr>
        <w:t>GB/T18370</w:t>
      </w:r>
      <w:bookmarkEnd w:id="30"/>
      <w:bookmarkEnd w:id="31"/>
      <w:r>
        <w:rPr>
          <w:rFonts w:hint="eastAsia" w:ascii="宋体" w:hAnsi="宋体" w:cs="宋体"/>
          <w:color w:val="auto"/>
          <w:sz w:val="24"/>
          <w:szCs w:val="24"/>
          <w:highlight w:val="none"/>
        </w:rPr>
        <w:t xml:space="preserve">、GB/T18371的要求，不应使用高碱玻璃纤维制品。 </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rPr>
        <w:t xml:space="preserve"> 施工要求</w:t>
      </w:r>
    </w:p>
    <w:p>
      <w:pPr>
        <w:numPr>
          <w:ilvl w:val="0"/>
          <w:numId w:val="7"/>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混凝土（钢筋混凝土）人(手)孔及井盖的施工应符合图纸及《通信管道工程施工及验收规范》中有关要求。</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人(手)孔壁上预留管道（硅芯管或钢管）窗口的大小尺寸应符合邮电部门的有关规范和规定。</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混凝土强度未达到设计等级以前不许回填。所有接缝封闭防水处理应符合GB/T 50374-2018《通信管道工程施工及验收规范》的标准要求。</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人(手)孔的地基应按设计规定处理,如系天然地基必须按设计规定的高程进行夯实、找平。</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在人(手)孔基坑挖成后，如被水浸泡，必须重新进行人工地基处理，否则严禁进行下一道工序的施工。人(手)孔基础支模前,必须校核基础形状、方向、地基高程等。</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人(手)孔基础的外型、尺寸应符合设计规定,其外形偏差应不大于±20mm,厚度偏差应不大于±10mm。</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基础的砼标号、配筋等应符合设计规定。浇灌砼前,应清除模板内的杂物。</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设计文件对人(手)孔基础有特殊要求时,如提高砼标号、加密钢筋、防水处理等,均应按设计规定办理。</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人(手)孔内部净高应符合设计规定。墙体的垂直度（全部净高）允许偏差不大于±10mm,墙体顶部高程允许偏差应不大于±20mm。</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人(手)孔采用钢筋砼现场浇筑,钢筋为Ⅰ级,钢筋加工前应放样,核实无误后方可施工,采用外加剂的防渗砼,抗渗标号不小于8。</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电缆支架及穿钉均采用热浸镀锌件。</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进入人(手)孔的窗口位置应符合设计规定,允许偏差应不大于10mm,管道端边至墙体面应呈圆弧状的喇叭口,人(手)孔管道窗口应堵抹严密,不得浮塞,外观整齐,表面平光。管道窗口外侧应填充密实,不得浮塞,表面整齐。</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管道窗口宽度大于700mm时,窗口处应按设计规定加密钢筋进行补强处理。</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人（手）孔未经验收不准回填土，如果沟槽或基坑内有水时，必须抽净后回填土，以防回填土不实，今后发生沉降，影响管道质量。</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通信管道工程用水，应采用可供饮用的或适于砼搅拌使用的水，不得使用工业污水及含硫化物的泉水。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2、管道工程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除图纸另有规定者外，管道工程应根据国家标准GB51171-2016《通信线路工程验收规范》和国家标准GB/T 50374-2018《通信管道工程施工及验收规范》的要求进行修建。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路侧及中央分隔带的纵向主管道埋设时，按图纸要求进行，且每一段落应具有形成一个单元所需的管孔数。其它纵向和横向的管道应符合图纸要求。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管道铺设的线形应顺适，检查井之间的管道应无低凹处，管节之间的连接角度应不大于5°。封闭接缝防水按GB/T 50374-2018《通信管道工程施工及验收规范》的规定执行。管道铺设后，其端口应用专用封头堵塞，防止异物进入管道。</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管沟开挖时，基底坡度和管道铺设坡度应与主线坡度一致，并应校测管沟的深度是否符合设计规定。管沟如被水浸泡，必须重新进行人工地基处理，否则严禁进行下一道工序的施工。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管道进入人(手)孔“窗口”处理方法应符合设计文件和GB/T 50374-2018《通信管道工程施工及验收规范》的要求,不得抹成方楞,必须抹成圆楞,应按照设计文件要求做好“窗口”位置的防水处理。避免管道进入人(手)孔“窗口”处由于人(手)孔基坑回填土夯填不实而造成日后土基沉陷,发生管道弯曲(严重的断裂)和错口的现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管道布放前应将硅芯管两端管口严密封堵，严禁水、土等杂物进入管内。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管道布放后应当天回土掩埋。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硅芯管接口断面应平直、无毛刺，并采用配套的PE密封接口件接续。</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敷设的硅芯管应无纽绞、缠绕、死弯、环扣等现象。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管道纵向铺设应尽量避免反复凹凸,以防增加吹缆阻力。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硅芯管的弯曲半径应大于1m，个别困难处不得小于该管外径的15倍，严禁出现折弯。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硅芯管配套接续密封连接件的规格、程式应符合设计规定。硅芯管的切割、连接等应使用专用工具操作。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硅芯管管道的规格、程式、段长应符合设计规定。为便于气吹方式敷设缆线，敷设前应根据设计及复测数据进行硅芯管配盘，配盘的首要原则是应尽量减少硅芯管接头并将接头尽量设置在人孔内。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在人孔内应直接通过，并分层放置在电缆托板上。待光(电)缆敷设时，视需要开口，以利于采用气吹法长距离敷缆。如需将硅芯管断开，硅芯管必须伸出人孔内墙壁40cm以上，否则气吹机将无法连接。在人孔内断开的硅芯管，其端口必须用膨胀塞封堵。</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管道沟成型后，为使硅芯管受到上层土压力（包括土的自重、工人夯土时的压力等）时受力均匀，应先在沟底铺设5～10cm厚的</w:t>
      </w:r>
      <w:r>
        <w:rPr>
          <w:rFonts w:hint="eastAsia" w:ascii="宋体" w:hAnsi="宋体" w:eastAsia="宋体" w:cs="宋体"/>
          <w:color w:val="auto"/>
          <w:sz w:val="24"/>
          <w:szCs w:val="24"/>
          <w:highlight w:val="none"/>
          <w:lang w:eastAsia="zh-CN"/>
        </w:rPr>
        <w:t>中粗砂</w:t>
      </w:r>
      <w:r>
        <w:rPr>
          <w:rFonts w:hint="eastAsia" w:ascii="宋体" w:hAnsi="宋体" w:eastAsia="宋体" w:cs="宋体"/>
          <w:color w:val="auto"/>
          <w:sz w:val="24"/>
          <w:szCs w:val="24"/>
          <w:highlight w:val="none"/>
        </w:rPr>
        <w:t>，再铺管子。同沟布放的硅芯管应每隔</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m绑扎一道打包带，进人孔孔壁处保证管与管之间有不小于3cm间距。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硅芯管采用混凝土包封时，除设计图纸另有说明外，均采用C20素混凝土包封。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硅芯管接头处必须竖立标石，多根硅芯管的接头位置错开50cm以上，且接头位置严禁位于混凝土包封段、管箱或钢管内。竣工图上注明硅芯管接头的位置。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硅芯管铺设完成后管道工程应按照有关规定做试通检验,以保证管道的施工质量。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管道施工完成后直至交工验收,承包人应对通信管道采取切实有效的保护措施,防止因施工车辆或其它设备通过而损坏,否则承包人应自费予以修复。</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施工中不应破坏原有的排水系统。施工后应恢复主体工程的植被、排水等原貌。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钢管斜插入人(手)孔时应将管道切成斜面,保证管口与人(手)孔孔壁平行。管道进入人(手)孔时,均应缩入孔壁一定的距离,并用水泥砂浆将管口抹成圆楞。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横穿路基的牵引线应按监理工程师批准的方法装入每一条管孔中，并牢牢地固定在每条管道的终点或坑内，以防止牵引线被拉入管道内。牵引线应采用经监理工程师批准的具有一定强度的尼龙线或镀锌钢丝。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钢管铺设</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管道基坑上划出每根铺设的中心线,按中心线铺设管道。铺管时应按设计管道长配好管长,同层和上下层管之间的接头均应错开。严禁不等径的管道接续使用(不包括接头套管)。为了避免管道滚动,造成间距不均匀,可事先用做好的木块或砼块将管道卡稳,然后浇注包封砼,并振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通信管道工程的回填土,应在管道或人孔施工验收合格后进行。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回填土前,应先清除沟（坑）内的遗留木料、草帘、纸袋等杂物，沟（坑）内如有积水和淤泥,必须排除后方可进行回填土。</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通信管道工程的回填土、除设计文件有特殊要求外,应符合下列规定: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回填土时,应在管道两侧及上面20cm以内回填不带石块等杂物的细砂，严禁用乱石或带有乱石的杂土回填，以免损坏硅芯管。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管道两侧应同时进行回填土,每回填20cm厚,用木夯排夯两遍。</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管道铺设后，要用专用封头盖住管孔以防泥沙等进入管孔。</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人(手)孔坑的回填土,应符合下列要求: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路上的人(手)孔坑及两端管道回填土,应按照设计规定执行。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靠近人(手)孔坑壁四周的回填土,不应有直径大于10厘米的碎石、碎砖等坚硬物回填。</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人(手)孔坑每回填30厘米,应用木夯排夯实。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人(手)孔坑的回填土,严禁高出人孔口圈的高程。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管道未经验收不准回填土，如果沟槽内有水时，必须抽净后回填土，以防回填土不实，今后发生沉降，影响管道质量；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硅芯管铺设可采用机械或人工法进行，硅芯管铺设尽量平直，构造物两端的土基必须夯实。应尽可能避免在两手孔之间有接头，如果在管线两手孔之间有接头，应增设邮电专用普通标石，标石标志为07（H）/23；</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注：编号的分子表示硅芯管接头序号；分母为一个中继段内总标石编号。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遇到上下坡时坡度应尽量小于40</w:t>
      </w:r>
      <w:r>
        <w:rPr>
          <w:rFonts w:hint="eastAsia" w:ascii="宋体" w:hAnsi="宋体" w:eastAsia="宋体" w:cs="宋体"/>
          <w:color w:val="auto"/>
          <w:sz w:val="24"/>
          <w:szCs w:val="24"/>
          <w:highlight w:val="none"/>
          <w:vertAlign w:val="superscript"/>
        </w:rPr>
        <w:t>o</w:t>
      </w:r>
      <w:r>
        <w:rPr>
          <w:rFonts w:hint="eastAsia" w:ascii="宋体" w:hAnsi="宋体" w:eastAsia="宋体" w:cs="宋体"/>
          <w:color w:val="auto"/>
          <w:sz w:val="24"/>
          <w:szCs w:val="24"/>
          <w:highlight w:val="none"/>
        </w:rPr>
        <w:t>，拐角弯度尽量大于120°，有困难的地点也不能小于100°；在过桥梁等障碍时，更应避免出现连续90°直角弯；对这种地势更要求沟底平滑、过度均匀。</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 xml:space="preserve"> 质量检验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1、检查项目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人(手)孔</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人(手)孔检查项目见表</w:t>
      </w:r>
      <w:r>
        <w:rPr>
          <w:rFonts w:hint="eastAsia" w:ascii="宋体" w:hAnsi="宋体" w:eastAsia="宋体" w:cs="宋体"/>
          <w:color w:val="auto"/>
          <w:sz w:val="24"/>
          <w:szCs w:val="24"/>
          <w:highlight w:val="none"/>
          <w:lang w:val="en-US" w:eastAsia="zh-CN"/>
        </w:rPr>
        <w:t>312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 管道工程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管道工程检查项目见表</w:t>
      </w:r>
      <w:r>
        <w:rPr>
          <w:rFonts w:hint="eastAsia" w:ascii="宋体" w:hAnsi="宋体" w:eastAsia="宋体" w:cs="宋体"/>
          <w:color w:val="auto"/>
          <w:sz w:val="24"/>
          <w:szCs w:val="24"/>
          <w:highlight w:val="none"/>
          <w:lang w:val="en-US" w:eastAsia="zh-CN"/>
        </w:rPr>
        <w:t>312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p>
    <w:p>
      <w:pPr>
        <w:spacing w:line="360" w:lineRule="auto"/>
        <w:ind w:firstLine="482" w:firstLineChars="20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人(手)孔的检查项目                    表312-2</w:t>
      </w:r>
      <w:r>
        <w:rPr>
          <w:rFonts w:hint="eastAsia" w:ascii="宋体" w:hAnsi="宋体" w:eastAsia="宋体" w:cs="宋体"/>
          <w:color w:val="auto"/>
          <w:sz w:val="24"/>
          <w:szCs w:val="24"/>
          <w:highlight w:val="none"/>
        </w:rPr>
        <w:t xml:space="preserve">                  </w:t>
      </w:r>
    </w:p>
    <w:tbl>
      <w:tblPr>
        <w:tblStyle w:val="63"/>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86"/>
        <w:gridCol w:w="2462"/>
        <w:gridCol w:w="2160"/>
        <w:gridCol w:w="301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项次</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检查项目</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规定值或允许偏差</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检查方法</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混凝土及砂浆强度（MPa）</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在合格标准内</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见JTG F80/1-2004附录D、F</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轴线偏位（mm）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经纬仪：每个检查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圆孔直径或方孔长度（mm）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+20，-0</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尺量：每个检查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孔底高程（mm）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Symbol" w:char="F0B1"/>
            </w:r>
            <w:r>
              <w:rPr>
                <w:rFonts w:hint="eastAsia" w:ascii="宋体" w:hAnsi="宋体" w:eastAsia="宋体" w:cs="宋体"/>
                <w:color w:val="auto"/>
                <w:sz w:val="24"/>
                <w:szCs w:val="24"/>
                <w:highlight w:val="none"/>
              </w:rPr>
              <w:t>15</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水准仪：每个检查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井盖与相邻路面高差（mm）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0～-4</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水准仪，水平尺：每个检查</w:t>
            </w:r>
          </w:p>
        </w:tc>
      </w:tr>
    </w:tbl>
    <w:p>
      <w:pPr>
        <w:rPr>
          <w:rFonts w:hint="eastAsia" w:ascii="宋体" w:hAnsi="宋体" w:eastAsia="宋体" w:cs="宋体"/>
          <w:color w:val="auto"/>
          <w:sz w:val="24"/>
          <w:szCs w:val="24"/>
          <w:highlight w:val="none"/>
        </w:rPr>
      </w:pPr>
    </w:p>
    <w:p>
      <w:pPr>
        <w:ind w:firstLine="3132" w:firstLineChars="1300"/>
        <w:jc w:val="both"/>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管道工程检查项目</w:t>
      </w:r>
      <w:r>
        <w:rPr>
          <w:rFonts w:hint="eastAsia" w:ascii="宋体" w:hAnsi="宋体" w:eastAsia="宋体" w:cs="宋体"/>
          <w:b/>
          <w:bCs/>
          <w:color w:val="auto"/>
          <w:sz w:val="24"/>
          <w:szCs w:val="24"/>
          <w:highlight w:val="none"/>
          <w:lang w:val="en-US" w:eastAsia="zh-CN"/>
        </w:rPr>
        <w:t xml:space="preserve">                          表312-3</w:t>
      </w:r>
    </w:p>
    <w:tbl>
      <w:tblPr>
        <w:tblStyle w:val="63"/>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901"/>
        <w:gridCol w:w="2447"/>
        <w:gridCol w:w="1980"/>
        <w:gridCol w:w="319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项次</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检查项目</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规定值或允许偏差</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检查方法</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混凝土及砂浆强度（Mpa）</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在合格标准以内</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见JTG F80/1-2004附录D、F</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管道轴线偏位（mm）</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经纬仪或拉线：每两井间测3处</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管内底高程（mm）</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Symbol" w:char="F0B1"/>
            </w:r>
            <w:r>
              <w:rPr>
                <w:rFonts w:hint="eastAsia" w:ascii="宋体" w:hAnsi="宋体" w:eastAsia="宋体" w:cs="宋体"/>
                <w:color w:val="auto"/>
                <w:sz w:val="24"/>
                <w:szCs w:val="24"/>
                <w:highlight w:val="none"/>
              </w:rPr>
              <w:t>10</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水准仪：每两井间测2处</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基础厚度（mm）</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不小于设计值</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尺量：每两井间测3处</w:t>
            </w:r>
          </w:p>
        </w:tc>
      </w:tr>
    </w:tbl>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2、外观鉴定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人(手)孔</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孔内砂浆抹面无裂缝。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 孔内平整，孔盖平稳。</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孔内的设施安装齐全、合格。</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管道工程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管道基础平整密实。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 管节铺设顺直，接缝平整密实，无开裂脱皮现象。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主干管道与横穿过路钢管在各区段的管孔数应与设计相一致。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3、管道试通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通信管道工程试通管孔,是管道工程质量评定具有否决权的关键项目,并应符合下列规定: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硅芯管及钢管均要求全部试通。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检测硅芯管是否畅通,应采用两端为圆头型聚乙烯或尼龙1010棒气吹试通，试通棒规格为Φ23mm，长200mm。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检测硅芯管的密封性能,应采用气密封塞子将硅芯管的两端堵严,充入1kg/cm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气压,24小时漏气不大于10%。</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4</w:t>
      </w:r>
      <w:r>
        <w:rPr>
          <w:rFonts w:hint="eastAsia" w:ascii="宋体" w:hAnsi="宋体" w:eastAsia="宋体" w:cs="宋体"/>
          <w:b/>
          <w:bCs/>
          <w:color w:val="auto"/>
          <w:kern w:val="0"/>
          <w:sz w:val="24"/>
          <w:szCs w:val="24"/>
          <w:highlight w:val="none"/>
        </w:rPr>
        <w:t xml:space="preserve"> 计量与支付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人(手)孔应根据图纸所示的型式及不同尺寸按个计量(人(手)孔内的钢筋、支架、托板、井盖及其它附属设施和工作都计入人(手)孔内,不另行计量)。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预埋管道工程应按铺筑就位并验收的长度以延米计量，计量是沿着单管和多管结构的管道中线进行, 计量包括硅芯管管材及其专用气密封接头、护缆塞子、气密封塞子和钢管管材、接头套管</w:t>
      </w:r>
      <w:r>
        <w:rPr>
          <w:rFonts w:hint="eastAsia" w:ascii="宋体" w:hAnsi="宋体" w:eastAsia="宋体" w:cs="宋体"/>
          <w:color w:val="auto"/>
          <w:sz w:val="24"/>
          <w:szCs w:val="24"/>
          <w:highlight w:val="none"/>
          <w:lang w:eastAsia="zh-CN"/>
        </w:rPr>
        <w:t>、穿线钢丝</w:t>
      </w:r>
      <w:r>
        <w:rPr>
          <w:rFonts w:hint="eastAsia" w:ascii="宋体" w:hAnsi="宋体" w:eastAsia="宋体" w:cs="宋体"/>
          <w:color w:val="auto"/>
          <w:sz w:val="24"/>
          <w:szCs w:val="24"/>
          <w:highlight w:val="none"/>
        </w:rPr>
        <w:t>。所有封缝料和牵引线等，作为承包人的附属工作，不另行计量。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铺筑管道和用于稳定管道的支撑等作为其附属工作,不另行计量。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w:t>
      </w:r>
      <w:r>
        <w:rPr>
          <w:rFonts w:hint="eastAsia" w:ascii="宋体" w:hAnsi="宋体" w:eastAsia="宋体" w:cs="宋体"/>
          <w:color w:val="auto"/>
          <w:sz w:val="24"/>
          <w:szCs w:val="24"/>
          <w:highlight w:val="none"/>
          <w:lang w:eastAsia="zh-CN"/>
        </w:rPr>
        <w:t>沟的开挖、</w:t>
      </w:r>
      <w:r>
        <w:rPr>
          <w:rFonts w:hint="eastAsia" w:ascii="宋体" w:hAnsi="宋体" w:eastAsia="宋体" w:cs="宋体"/>
          <w:color w:val="auto"/>
          <w:sz w:val="24"/>
          <w:szCs w:val="24"/>
          <w:highlight w:val="none"/>
        </w:rPr>
        <w:t>回填</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压实作为相关工程的附属工作，不另计量。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过桥</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以米计量(包括螺栓等)。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制作、安装过桥管道托架以</w:t>
      </w:r>
      <w:r>
        <w:rPr>
          <w:rFonts w:hint="eastAsia" w:ascii="宋体" w:hAnsi="宋体" w:cs="宋体"/>
          <w:color w:val="auto"/>
          <w:sz w:val="24"/>
          <w:szCs w:val="24"/>
          <w:highlight w:val="none"/>
          <w:lang w:eastAsia="zh-CN"/>
        </w:rPr>
        <w:t>套</w:t>
      </w:r>
      <w:r>
        <w:rPr>
          <w:rFonts w:hint="eastAsia" w:ascii="宋体" w:hAnsi="宋体" w:eastAsia="宋体" w:cs="宋体"/>
          <w:color w:val="auto"/>
          <w:sz w:val="24"/>
          <w:szCs w:val="24"/>
          <w:highlight w:val="none"/>
        </w:rPr>
        <w:t>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管道的混凝土包封，以立方米计量。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上述规定计量，经监理工程师验收并列入了工程量清单的以下支付子目的工程量，其每一计量单位将以合同单价支付。此项支付包括材料、劳力、设备、运输等及其它为完成安装工程所必需的费用，是对完成工程的全部偿付。</w:t>
      </w:r>
    </w:p>
    <w:p>
      <w:pPr>
        <w:pStyle w:val="220"/>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TS31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 备件、随机备件和专用工具</w:t>
      </w:r>
    </w:p>
    <w:p>
      <w:pPr>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承包人所提供的设备备件，应充分考虑中国（尤其是安徽省）的情况，优先选择便于在当地市场采购的同等型号备件或其代用品。</w:t>
      </w:r>
    </w:p>
    <w:p>
      <w:pPr>
        <w:spacing w:line="360" w:lineRule="auto"/>
        <w:ind w:firstLine="504" w:firstLineChars="200"/>
        <w:rPr>
          <w:rFonts w:hint="eastAsia" w:ascii="宋体" w:hAnsi="宋体" w:cs="宋体"/>
          <w:color w:val="auto"/>
          <w:spacing w:val="6"/>
          <w:sz w:val="24"/>
          <w:szCs w:val="24"/>
          <w:highlight w:val="none"/>
        </w:rPr>
      </w:pPr>
      <w:r>
        <w:rPr>
          <w:rFonts w:hint="eastAsia" w:ascii="宋体" w:hAnsi="宋体" w:eastAsia="宋体" w:cs="宋体"/>
          <w:color w:val="auto"/>
          <w:spacing w:val="6"/>
          <w:sz w:val="24"/>
          <w:szCs w:val="24"/>
          <w:highlight w:val="none"/>
        </w:rPr>
        <w:t>除工程量清单中要求的各类备件和工具外，承包人还应向业主提供各类设备的随机备件、专用工具。</w:t>
      </w:r>
    </w:p>
    <w:p>
      <w:pPr>
        <w:spacing w:line="360" w:lineRule="auto"/>
        <w:ind w:firstLine="504" w:firstLineChars="200"/>
        <w:rPr>
          <w:rFonts w:hint="eastAsia" w:ascii="宋体" w:hAnsi="宋体" w:cs="宋体"/>
          <w:color w:val="auto"/>
          <w:spacing w:val="6"/>
          <w:sz w:val="24"/>
          <w:szCs w:val="24"/>
          <w:highlight w:val="none"/>
        </w:rPr>
      </w:pPr>
    </w:p>
    <w:bookmarkEnd w:id="35"/>
    <w:sectPr>
      <w:head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文鼎大标宋简">
    <w:altName w:val="Arial Unicode MS"/>
    <w:panose1 w:val="00000000000000000000"/>
    <w:charset w:val="86"/>
    <w:family w:val="moder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01" w:csb1="00000000"/>
  </w:font>
  <w:font w:name="文鼎CS书宋二">
    <w:altName w:val="宋体"/>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8"/>
      </w:rPr>
    </w:pPr>
    <w:r>
      <w:fldChar w:fldCharType="begin"/>
    </w:r>
    <w:r>
      <w:rPr>
        <w:rStyle w:val="68"/>
      </w:rPr>
      <w:instrText xml:space="preserve">PAGE  </w:instrText>
    </w:r>
    <w: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361"/>
    </w:pPr>
    <w:bookmarkStart w:id="32" w:name="OLE_LINK22"/>
    <w:bookmarkStart w:id="33" w:name="OLE_LINK1"/>
    <w:bookmarkStart w:id="34" w:name="OLE_LINK5"/>
    <w:r>
      <w:rPr>
        <w:rFonts w:hint="eastAsia"/>
      </w:rPr>
      <w:t>S22天天高速安庆至潜山段（月山</w:t>
    </w:r>
    <w:r>
      <w:rPr>
        <w:rFonts w:hint="eastAsia"/>
        <w:lang w:val="en-US" w:eastAsia="zh-CN"/>
      </w:rPr>
      <w:t>至潜山</w:t>
    </w:r>
    <w:r>
      <w:rPr>
        <w:rFonts w:hint="eastAsia"/>
      </w:rPr>
      <w:t>）</w:t>
    </w:r>
    <w:bookmarkEnd w:id="32"/>
    <w:r>
      <w:rPr>
        <w:rFonts w:hint="eastAsia"/>
      </w:rPr>
      <w:t>招标文件</w:t>
    </w:r>
    <w:bookmarkEnd w:id="33"/>
    <w:r>
      <w:rPr>
        <w:rFonts w:hint="eastAsia"/>
      </w:rPr>
      <w:t xml:space="preserve">         </w:t>
    </w:r>
    <w:r>
      <w:rPr>
        <w:rFonts w:hint="eastAsia"/>
        <w:lang w:val="en-US" w:eastAsia="zh-CN"/>
      </w:rPr>
      <w:t xml:space="preserve">     </w:t>
    </w:r>
    <w:r>
      <w:rPr>
        <w:rFonts w:hint="eastAsia"/>
      </w:rPr>
      <w:t xml:space="preserve">        </w:t>
    </w:r>
    <w:r>
      <w:rPr>
        <w:rFonts w:hint="eastAsia" w:ascii="仿宋_GB2312" w:eastAsia="仿宋_GB2312"/>
        <w:b/>
      </w:rPr>
      <w:t xml:space="preserve">    </w:t>
    </w:r>
    <w:r>
      <w:rPr>
        <w:rFonts w:hint="eastAsia" w:eastAsia="仿宋_GB2312"/>
        <w:lang w:val="en-US" w:eastAsia="zh-CN"/>
      </w:rPr>
      <w:t>3</w:t>
    </w:r>
    <w:r>
      <w:rPr>
        <w:rFonts w:hint="eastAsia"/>
      </w:rPr>
      <w:t>00章</w:t>
    </w:r>
    <w:r>
      <w:rPr>
        <w:rFonts w:hint="eastAsia"/>
        <w:lang w:val="en-US" w:eastAsia="zh-CN"/>
      </w:rPr>
      <w:t>通信设施</w:t>
    </w:r>
    <w:bookmarkEnd w:id="3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F7E8A"/>
    <w:multiLevelType w:val="multilevel"/>
    <w:tmpl w:val="018F7E8A"/>
    <w:lvl w:ilvl="0" w:tentative="0">
      <w:start w:val="1"/>
      <w:numFmt w:val="bullet"/>
      <w:lvlText w:val=""/>
      <w:lvlJc w:val="left"/>
      <w:pPr>
        <w:tabs>
          <w:tab w:val="left" w:pos="1320"/>
        </w:tabs>
        <w:ind w:left="132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286B4894"/>
    <w:multiLevelType w:val="multilevel"/>
    <w:tmpl w:val="286B4894"/>
    <w:lvl w:ilvl="0" w:tentative="0">
      <w:start w:val="1"/>
      <w:numFmt w:val="bullet"/>
      <w:lvlText w:val=""/>
      <w:lvlJc w:val="left"/>
      <w:pPr>
        <w:tabs>
          <w:tab w:val="left" w:pos="2940"/>
        </w:tabs>
        <w:ind w:left="2940" w:hanging="420"/>
      </w:pPr>
      <w:rPr>
        <w:rFonts w:hint="default" w:ascii="Wingdings" w:hAnsi="Wingdings"/>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60"/>
        </w:tabs>
        <w:ind w:left="1860" w:hanging="420"/>
      </w:pPr>
      <w:rPr>
        <w:rFonts w:hint="default" w:ascii="Wingdings" w:hAnsi="Wingdings"/>
      </w:rPr>
    </w:lvl>
    <w:lvl w:ilvl="3" w:tentative="0">
      <w:start w:val="1"/>
      <w:numFmt w:val="bullet"/>
      <w:lvlText w:val=""/>
      <w:lvlJc w:val="left"/>
      <w:pPr>
        <w:tabs>
          <w:tab w:val="left" w:pos="2280"/>
        </w:tabs>
        <w:ind w:left="2280" w:hanging="420"/>
      </w:pPr>
      <w:rPr>
        <w:rFonts w:hint="default" w:ascii="Wingdings" w:hAnsi="Wingdings"/>
      </w:rPr>
    </w:lvl>
    <w:lvl w:ilvl="4" w:tentative="0">
      <w:start w:val="1"/>
      <w:numFmt w:val="bullet"/>
      <w:lvlText w:val=""/>
      <w:lvlJc w:val="left"/>
      <w:pPr>
        <w:tabs>
          <w:tab w:val="left" w:pos="2700"/>
        </w:tabs>
        <w:ind w:left="2700" w:hanging="420"/>
      </w:pPr>
      <w:rPr>
        <w:rFonts w:hint="default" w:ascii="Wingdings" w:hAnsi="Wingdings"/>
      </w:rPr>
    </w:lvl>
    <w:lvl w:ilvl="5" w:tentative="0">
      <w:start w:val="1"/>
      <w:numFmt w:val="bullet"/>
      <w:lvlText w:val=""/>
      <w:lvlJc w:val="left"/>
      <w:pPr>
        <w:tabs>
          <w:tab w:val="left" w:pos="3120"/>
        </w:tabs>
        <w:ind w:left="3120" w:hanging="420"/>
      </w:pPr>
      <w:rPr>
        <w:rFonts w:hint="default" w:ascii="Wingdings" w:hAnsi="Wingdings"/>
      </w:rPr>
    </w:lvl>
    <w:lvl w:ilvl="6" w:tentative="0">
      <w:start w:val="1"/>
      <w:numFmt w:val="bullet"/>
      <w:lvlText w:val=""/>
      <w:lvlJc w:val="left"/>
      <w:pPr>
        <w:tabs>
          <w:tab w:val="left" w:pos="3540"/>
        </w:tabs>
        <w:ind w:left="3540" w:hanging="420"/>
      </w:pPr>
      <w:rPr>
        <w:rFonts w:hint="default" w:ascii="Wingdings" w:hAnsi="Wingdings"/>
      </w:rPr>
    </w:lvl>
    <w:lvl w:ilvl="7" w:tentative="0">
      <w:start w:val="1"/>
      <w:numFmt w:val="bullet"/>
      <w:lvlText w:val=""/>
      <w:lvlJc w:val="left"/>
      <w:pPr>
        <w:tabs>
          <w:tab w:val="left" w:pos="3960"/>
        </w:tabs>
        <w:ind w:left="3960" w:hanging="420"/>
      </w:pPr>
      <w:rPr>
        <w:rFonts w:hint="default" w:ascii="Wingdings" w:hAnsi="Wingdings"/>
      </w:rPr>
    </w:lvl>
    <w:lvl w:ilvl="8" w:tentative="0">
      <w:start w:val="1"/>
      <w:numFmt w:val="bullet"/>
      <w:lvlText w:val=""/>
      <w:lvlJc w:val="left"/>
      <w:pPr>
        <w:tabs>
          <w:tab w:val="left" w:pos="4380"/>
        </w:tabs>
        <w:ind w:left="4380" w:hanging="420"/>
      </w:pPr>
      <w:rPr>
        <w:rFonts w:hint="default" w:ascii="Wingdings" w:hAnsi="Wingdings"/>
      </w:rPr>
    </w:lvl>
  </w:abstractNum>
  <w:abstractNum w:abstractNumId="2">
    <w:nsid w:val="2F922DD4"/>
    <w:multiLevelType w:val="multilevel"/>
    <w:tmpl w:val="2F922DD4"/>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851"/>
        </w:tabs>
        <w:ind w:left="0" w:firstLine="482"/>
      </w:pPr>
      <w:rPr>
        <w:rFonts w:hint="default" w:ascii="Wingdings" w:hAnsi="Wingdings"/>
      </w:rPr>
    </w:lvl>
    <w:lvl w:ilvl="2" w:tentative="0">
      <w:start w:val="1"/>
      <w:numFmt w:val="bullet"/>
      <w:lvlText w:val=""/>
      <w:lvlJc w:val="left"/>
      <w:pPr>
        <w:tabs>
          <w:tab w:val="left" w:pos="1629"/>
        </w:tabs>
        <w:ind w:left="1629" w:hanging="369"/>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4F3A2ADD"/>
    <w:multiLevelType w:val="multilevel"/>
    <w:tmpl w:val="4F3A2ADD"/>
    <w:lvl w:ilvl="0" w:tentative="0">
      <w:start w:val="1"/>
      <w:numFmt w:val="bullet"/>
      <w:lvlText w:val=""/>
      <w:lvlJc w:val="left"/>
      <w:pPr>
        <w:tabs>
          <w:tab w:val="left" w:pos="1270"/>
        </w:tabs>
        <w:ind w:left="1270" w:hanging="420"/>
      </w:pPr>
      <w:rPr>
        <w:rFonts w:hint="default" w:ascii="Wingdings" w:hAnsi="Wingdings"/>
      </w:rPr>
    </w:lvl>
    <w:lvl w:ilvl="1" w:tentative="0">
      <w:start w:val="1"/>
      <w:numFmt w:val="bullet"/>
      <w:lvlText w:val=""/>
      <w:lvlJc w:val="left"/>
      <w:pPr>
        <w:tabs>
          <w:tab w:val="left" w:pos="1690"/>
        </w:tabs>
        <w:ind w:left="1690" w:hanging="420"/>
      </w:pPr>
      <w:rPr>
        <w:rFonts w:hint="default" w:ascii="Wingdings" w:hAnsi="Wingdings"/>
      </w:rPr>
    </w:lvl>
    <w:lvl w:ilvl="2" w:tentative="0">
      <w:start w:val="1"/>
      <w:numFmt w:val="bullet"/>
      <w:lvlText w:val=""/>
      <w:lvlJc w:val="left"/>
      <w:pPr>
        <w:tabs>
          <w:tab w:val="left" w:pos="2110"/>
        </w:tabs>
        <w:ind w:left="2110" w:hanging="420"/>
      </w:pPr>
      <w:rPr>
        <w:rFonts w:hint="default" w:ascii="Wingdings" w:hAnsi="Wingdings"/>
      </w:rPr>
    </w:lvl>
    <w:lvl w:ilvl="3" w:tentative="0">
      <w:start w:val="1"/>
      <w:numFmt w:val="bullet"/>
      <w:lvlText w:val=""/>
      <w:lvlJc w:val="left"/>
      <w:pPr>
        <w:tabs>
          <w:tab w:val="left" w:pos="2530"/>
        </w:tabs>
        <w:ind w:left="2530" w:hanging="420"/>
      </w:pPr>
      <w:rPr>
        <w:rFonts w:hint="default" w:ascii="Wingdings" w:hAnsi="Wingdings"/>
      </w:rPr>
    </w:lvl>
    <w:lvl w:ilvl="4" w:tentative="0">
      <w:start w:val="1"/>
      <w:numFmt w:val="bullet"/>
      <w:lvlText w:val=""/>
      <w:lvlJc w:val="left"/>
      <w:pPr>
        <w:tabs>
          <w:tab w:val="left" w:pos="2950"/>
        </w:tabs>
        <w:ind w:left="2950" w:hanging="420"/>
      </w:pPr>
      <w:rPr>
        <w:rFonts w:hint="default" w:ascii="Wingdings" w:hAnsi="Wingdings"/>
      </w:rPr>
    </w:lvl>
    <w:lvl w:ilvl="5" w:tentative="0">
      <w:start w:val="1"/>
      <w:numFmt w:val="bullet"/>
      <w:lvlText w:val=""/>
      <w:lvlJc w:val="left"/>
      <w:pPr>
        <w:tabs>
          <w:tab w:val="left" w:pos="3370"/>
        </w:tabs>
        <w:ind w:left="3370" w:hanging="420"/>
      </w:pPr>
      <w:rPr>
        <w:rFonts w:hint="default" w:ascii="Wingdings" w:hAnsi="Wingdings"/>
      </w:rPr>
    </w:lvl>
    <w:lvl w:ilvl="6" w:tentative="0">
      <w:start w:val="1"/>
      <w:numFmt w:val="bullet"/>
      <w:lvlText w:val=""/>
      <w:lvlJc w:val="left"/>
      <w:pPr>
        <w:tabs>
          <w:tab w:val="left" w:pos="3790"/>
        </w:tabs>
        <w:ind w:left="3790" w:hanging="420"/>
      </w:pPr>
      <w:rPr>
        <w:rFonts w:hint="default" w:ascii="Wingdings" w:hAnsi="Wingdings"/>
      </w:rPr>
    </w:lvl>
    <w:lvl w:ilvl="7" w:tentative="0">
      <w:start w:val="1"/>
      <w:numFmt w:val="bullet"/>
      <w:lvlText w:val=""/>
      <w:lvlJc w:val="left"/>
      <w:pPr>
        <w:tabs>
          <w:tab w:val="left" w:pos="4210"/>
        </w:tabs>
        <w:ind w:left="4210" w:hanging="420"/>
      </w:pPr>
      <w:rPr>
        <w:rFonts w:hint="default" w:ascii="Wingdings" w:hAnsi="Wingdings"/>
      </w:rPr>
    </w:lvl>
    <w:lvl w:ilvl="8" w:tentative="0">
      <w:start w:val="1"/>
      <w:numFmt w:val="bullet"/>
      <w:lvlText w:val=""/>
      <w:lvlJc w:val="left"/>
      <w:pPr>
        <w:tabs>
          <w:tab w:val="left" w:pos="4630"/>
        </w:tabs>
        <w:ind w:left="4630" w:hanging="420"/>
      </w:pPr>
      <w:rPr>
        <w:rFonts w:hint="default" w:ascii="Wingdings" w:hAnsi="Wingdings"/>
      </w:rPr>
    </w:lvl>
  </w:abstractNum>
  <w:abstractNum w:abstractNumId="4">
    <w:nsid w:val="580D3659"/>
    <w:multiLevelType w:val="multilevel"/>
    <w:tmpl w:val="580D365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A9B2A32"/>
    <w:multiLevelType w:val="multilevel"/>
    <w:tmpl w:val="5A9B2A32"/>
    <w:lvl w:ilvl="0" w:tentative="0">
      <w:start w:val="1"/>
      <w:numFmt w:val="bullet"/>
      <w:lvlText w:val=""/>
      <w:lvlJc w:val="left"/>
      <w:pPr>
        <w:ind w:left="900" w:hanging="420"/>
      </w:pPr>
      <w:rPr>
        <w:rFonts w:hint="default" w:ascii="Wingdings" w:hAnsi="Wingdings"/>
        <w:b w:val="0"/>
        <w:i w:val="0"/>
        <w:sz w:val="24"/>
        <w:szCs w:val="24"/>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796435C0"/>
    <w:multiLevelType w:val="multilevel"/>
    <w:tmpl w:val="796435C0"/>
    <w:lvl w:ilvl="0" w:tentative="0">
      <w:start w:val="1"/>
      <w:numFmt w:val="bullet"/>
      <w:lvlText w:val=""/>
      <w:lvlJc w:val="left"/>
      <w:pPr>
        <w:tabs>
          <w:tab w:val="left" w:pos="840"/>
        </w:tabs>
        <w:ind w:left="840" w:hanging="360"/>
      </w:pPr>
      <w:rPr>
        <w:rFonts w:hint="default" w:ascii="Wingdings" w:hAnsi="Wingdings"/>
        <w:b/>
        <w:i w:val="0"/>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5"/>
  </w:num>
  <w:num w:numId="2">
    <w:abstractNumId w:val="6"/>
  </w:num>
  <w:num w:numId="3">
    <w:abstractNumId w:val="2"/>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5NDMxZjc4NTQ5ZTZjNGU5ZDRlNzU5NWI3YzM2NjYifQ=="/>
    <w:docVar w:name="KSO_WPS_MARK_KEY" w:val="6baaee43-72e0-4ede-8caa-5c61f4eae55d"/>
  </w:docVars>
  <w:rsids>
    <w:rsidRoot w:val="00C83B3D"/>
    <w:rsid w:val="000002D0"/>
    <w:rsid w:val="0002638F"/>
    <w:rsid w:val="00036736"/>
    <w:rsid w:val="00042233"/>
    <w:rsid w:val="00046FCD"/>
    <w:rsid w:val="00050524"/>
    <w:rsid w:val="00052C8F"/>
    <w:rsid w:val="000558B5"/>
    <w:rsid w:val="00055ACA"/>
    <w:rsid w:val="00056B5C"/>
    <w:rsid w:val="0008265B"/>
    <w:rsid w:val="000862DE"/>
    <w:rsid w:val="00093A37"/>
    <w:rsid w:val="000A13D4"/>
    <w:rsid w:val="000A21FD"/>
    <w:rsid w:val="000B0B99"/>
    <w:rsid w:val="000D3872"/>
    <w:rsid w:val="000D3EE7"/>
    <w:rsid w:val="000D5F32"/>
    <w:rsid w:val="00132DCC"/>
    <w:rsid w:val="00136C85"/>
    <w:rsid w:val="00140D67"/>
    <w:rsid w:val="00144D10"/>
    <w:rsid w:val="00170616"/>
    <w:rsid w:val="001710CD"/>
    <w:rsid w:val="001B4A50"/>
    <w:rsid w:val="001E25B7"/>
    <w:rsid w:val="001E5A65"/>
    <w:rsid w:val="001E7A4A"/>
    <w:rsid w:val="00203B17"/>
    <w:rsid w:val="0020780C"/>
    <w:rsid w:val="00210279"/>
    <w:rsid w:val="0022591D"/>
    <w:rsid w:val="00243DF3"/>
    <w:rsid w:val="002542F0"/>
    <w:rsid w:val="00261BFE"/>
    <w:rsid w:val="002629EA"/>
    <w:rsid w:val="00271B98"/>
    <w:rsid w:val="00274C5C"/>
    <w:rsid w:val="0029348A"/>
    <w:rsid w:val="002D48D5"/>
    <w:rsid w:val="002D6358"/>
    <w:rsid w:val="002F6C73"/>
    <w:rsid w:val="003001AC"/>
    <w:rsid w:val="00312DF9"/>
    <w:rsid w:val="0033317A"/>
    <w:rsid w:val="00364F91"/>
    <w:rsid w:val="0038720F"/>
    <w:rsid w:val="003A0C38"/>
    <w:rsid w:val="003B0565"/>
    <w:rsid w:val="003C6820"/>
    <w:rsid w:val="003C6A60"/>
    <w:rsid w:val="003E4C5D"/>
    <w:rsid w:val="003E67DD"/>
    <w:rsid w:val="0040149C"/>
    <w:rsid w:val="00424DC9"/>
    <w:rsid w:val="00434C5F"/>
    <w:rsid w:val="004428A5"/>
    <w:rsid w:val="004505B9"/>
    <w:rsid w:val="00451F5B"/>
    <w:rsid w:val="004525B0"/>
    <w:rsid w:val="004D595C"/>
    <w:rsid w:val="00500D10"/>
    <w:rsid w:val="005165C0"/>
    <w:rsid w:val="0055335B"/>
    <w:rsid w:val="00553ADA"/>
    <w:rsid w:val="00562DE1"/>
    <w:rsid w:val="00575F16"/>
    <w:rsid w:val="0057717C"/>
    <w:rsid w:val="00587A87"/>
    <w:rsid w:val="005A6272"/>
    <w:rsid w:val="005B2375"/>
    <w:rsid w:val="005B29FD"/>
    <w:rsid w:val="005C0B3B"/>
    <w:rsid w:val="005C18A3"/>
    <w:rsid w:val="005C2EBF"/>
    <w:rsid w:val="005D60E2"/>
    <w:rsid w:val="005D6745"/>
    <w:rsid w:val="005E23EF"/>
    <w:rsid w:val="005F3324"/>
    <w:rsid w:val="005F52B0"/>
    <w:rsid w:val="0060218D"/>
    <w:rsid w:val="0060798C"/>
    <w:rsid w:val="006118A0"/>
    <w:rsid w:val="00616BA0"/>
    <w:rsid w:val="00620850"/>
    <w:rsid w:val="00635E12"/>
    <w:rsid w:val="006511DA"/>
    <w:rsid w:val="00660387"/>
    <w:rsid w:val="00674AA0"/>
    <w:rsid w:val="006879FD"/>
    <w:rsid w:val="00690107"/>
    <w:rsid w:val="006956A1"/>
    <w:rsid w:val="006C10B7"/>
    <w:rsid w:val="006D0BA9"/>
    <w:rsid w:val="006E56C6"/>
    <w:rsid w:val="006E6A43"/>
    <w:rsid w:val="006F1640"/>
    <w:rsid w:val="007337A8"/>
    <w:rsid w:val="0074631C"/>
    <w:rsid w:val="007527B9"/>
    <w:rsid w:val="00762C07"/>
    <w:rsid w:val="007813BA"/>
    <w:rsid w:val="007B47DC"/>
    <w:rsid w:val="007D4682"/>
    <w:rsid w:val="008023EB"/>
    <w:rsid w:val="0082413A"/>
    <w:rsid w:val="008246BF"/>
    <w:rsid w:val="00837E6C"/>
    <w:rsid w:val="00846BF5"/>
    <w:rsid w:val="00850F1E"/>
    <w:rsid w:val="00853249"/>
    <w:rsid w:val="00866ED3"/>
    <w:rsid w:val="008918A2"/>
    <w:rsid w:val="00897925"/>
    <w:rsid w:val="008B117A"/>
    <w:rsid w:val="008C09DC"/>
    <w:rsid w:val="008C2CDA"/>
    <w:rsid w:val="008E432E"/>
    <w:rsid w:val="008F0AAA"/>
    <w:rsid w:val="00903BCE"/>
    <w:rsid w:val="0090502F"/>
    <w:rsid w:val="009265E2"/>
    <w:rsid w:val="0093333E"/>
    <w:rsid w:val="009A59E8"/>
    <w:rsid w:val="009B005A"/>
    <w:rsid w:val="009C0035"/>
    <w:rsid w:val="009C5E12"/>
    <w:rsid w:val="009D07BF"/>
    <w:rsid w:val="009D352F"/>
    <w:rsid w:val="009E5081"/>
    <w:rsid w:val="009E6FF9"/>
    <w:rsid w:val="00A10539"/>
    <w:rsid w:val="00A11AE0"/>
    <w:rsid w:val="00A14B5D"/>
    <w:rsid w:val="00A3100D"/>
    <w:rsid w:val="00A67876"/>
    <w:rsid w:val="00A7215B"/>
    <w:rsid w:val="00A803FC"/>
    <w:rsid w:val="00A93578"/>
    <w:rsid w:val="00AB2211"/>
    <w:rsid w:val="00AB2FD7"/>
    <w:rsid w:val="00AB7C7E"/>
    <w:rsid w:val="00AC05CA"/>
    <w:rsid w:val="00AC2E5B"/>
    <w:rsid w:val="00AC4CC8"/>
    <w:rsid w:val="00AE6E36"/>
    <w:rsid w:val="00AF09CD"/>
    <w:rsid w:val="00B21833"/>
    <w:rsid w:val="00B42CCB"/>
    <w:rsid w:val="00B6554A"/>
    <w:rsid w:val="00B65F23"/>
    <w:rsid w:val="00B771FB"/>
    <w:rsid w:val="00BB1D52"/>
    <w:rsid w:val="00BB5D86"/>
    <w:rsid w:val="00BD4DF7"/>
    <w:rsid w:val="00BE4D03"/>
    <w:rsid w:val="00C32CB2"/>
    <w:rsid w:val="00C5129F"/>
    <w:rsid w:val="00C56B41"/>
    <w:rsid w:val="00C72DA7"/>
    <w:rsid w:val="00C76C2E"/>
    <w:rsid w:val="00C8206C"/>
    <w:rsid w:val="00C83162"/>
    <w:rsid w:val="00C83B3D"/>
    <w:rsid w:val="00C91DD8"/>
    <w:rsid w:val="00CB31F3"/>
    <w:rsid w:val="00CD2338"/>
    <w:rsid w:val="00D13ABF"/>
    <w:rsid w:val="00D14AB0"/>
    <w:rsid w:val="00D15F8B"/>
    <w:rsid w:val="00D177D9"/>
    <w:rsid w:val="00D25BFB"/>
    <w:rsid w:val="00D27E86"/>
    <w:rsid w:val="00D415E3"/>
    <w:rsid w:val="00D63B45"/>
    <w:rsid w:val="00D64718"/>
    <w:rsid w:val="00D71FD9"/>
    <w:rsid w:val="00D763A7"/>
    <w:rsid w:val="00D77A5E"/>
    <w:rsid w:val="00DB4156"/>
    <w:rsid w:val="00DC2AB3"/>
    <w:rsid w:val="00DF4DA7"/>
    <w:rsid w:val="00DF715B"/>
    <w:rsid w:val="00E021ED"/>
    <w:rsid w:val="00E04830"/>
    <w:rsid w:val="00E06347"/>
    <w:rsid w:val="00E12615"/>
    <w:rsid w:val="00E44410"/>
    <w:rsid w:val="00E52F54"/>
    <w:rsid w:val="00E7082A"/>
    <w:rsid w:val="00E741BC"/>
    <w:rsid w:val="00E8691D"/>
    <w:rsid w:val="00ED51D4"/>
    <w:rsid w:val="00F10A3A"/>
    <w:rsid w:val="00F12EB5"/>
    <w:rsid w:val="00F201DC"/>
    <w:rsid w:val="00F21E5F"/>
    <w:rsid w:val="00F24FEB"/>
    <w:rsid w:val="00F42DFC"/>
    <w:rsid w:val="00F61261"/>
    <w:rsid w:val="00F62C19"/>
    <w:rsid w:val="00FB3423"/>
    <w:rsid w:val="00FC4788"/>
    <w:rsid w:val="00FD3FDF"/>
    <w:rsid w:val="00FD61C0"/>
    <w:rsid w:val="00FE2AEF"/>
    <w:rsid w:val="0B445800"/>
    <w:rsid w:val="12D13000"/>
    <w:rsid w:val="1D6372A4"/>
    <w:rsid w:val="1E0D20F6"/>
    <w:rsid w:val="289F4D7B"/>
    <w:rsid w:val="2DB539A1"/>
    <w:rsid w:val="317B52DD"/>
    <w:rsid w:val="470571A3"/>
    <w:rsid w:val="48D25063"/>
    <w:rsid w:val="4B183817"/>
    <w:rsid w:val="521965A9"/>
    <w:rsid w:val="5B2C14DE"/>
    <w:rsid w:val="5FCE0A08"/>
    <w:rsid w:val="6094385D"/>
    <w:rsid w:val="610F3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74"/>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4"/>
    <w:link w:val="75"/>
    <w:qFormat/>
    <w:uiPriority w:val="0"/>
    <w:pPr>
      <w:keepNext/>
      <w:keepLines/>
      <w:spacing w:before="260" w:after="260" w:line="415" w:lineRule="auto"/>
      <w:outlineLvl w:val="1"/>
    </w:pPr>
    <w:rPr>
      <w:rFonts w:ascii="Arial" w:hAnsi="Arial" w:cs="Times New Roman"/>
      <w:b/>
      <w:kern w:val="0"/>
      <w:sz w:val="32"/>
      <w:szCs w:val="20"/>
    </w:rPr>
  </w:style>
  <w:style w:type="paragraph" w:styleId="5">
    <w:name w:val="heading 3"/>
    <w:basedOn w:val="1"/>
    <w:next w:val="4"/>
    <w:link w:val="76"/>
    <w:qFormat/>
    <w:uiPriority w:val="0"/>
    <w:pPr>
      <w:keepNext/>
      <w:keepLines/>
      <w:widowControl/>
      <w:tabs>
        <w:tab w:val="left" w:pos="3229"/>
      </w:tabs>
      <w:spacing w:before="120" w:after="120" w:line="360" w:lineRule="auto"/>
      <w:ind w:left="3229" w:hanging="709"/>
      <w:jc w:val="center"/>
      <w:outlineLvl w:val="2"/>
    </w:pPr>
    <w:rPr>
      <w:rFonts w:ascii="Times New Roman" w:hAnsi="Times New Roman" w:cs="Times New Roman"/>
      <w:b/>
      <w:kern w:val="0"/>
      <w:sz w:val="32"/>
      <w:szCs w:val="24"/>
    </w:rPr>
  </w:style>
  <w:style w:type="paragraph" w:styleId="6">
    <w:name w:val="heading 4"/>
    <w:basedOn w:val="1"/>
    <w:next w:val="4"/>
    <w:link w:val="78"/>
    <w:qFormat/>
    <w:uiPriority w:val="0"/>
    <w:pPr>
      <w:keepNext/>
      <w:adjustRightInd w:val="0"/>
      <w:spacing w:line="420" w:lineRule="atLeast"/>
      <w:ind w:firstLine="454"/>
      <w:jc w:val="center"/>
      <w:textAlignment w:val="baseline"/>
      <w:outlineLvl w:val="3"/>
    </w:pPr>
    <w:rPr>
      <w:rFonts w:ascii="Times New Roman" w:hAnsi="Times New Roman" w:cs="Times New Roman"/>
      <w:i/>
      <w:kern w:val="0"/>
      <w:sz w:val="20"/>
      <w:szCs w:val="20"/>
    </w:rPr>
  </w:style>
  <w:style w:type="paragraph" w:styleId="7">
    <w:name w:val="heading 5"/>
    <w:basedOn w:val="1"/>
    <w:next w:val="1"/>
    <w:link w:val="79"/>
    <w:qFormat/>
    <w:uiPriority w:val="0"/>
    <w:pPr>
      <w:keepNext/>
      <w:jc w:val="center"/>
      <w:outlineLvl w:val="4"/>
    </w:pPr>
    <w:rPr>
      <w:rFonts w:ascii="Times New Roman" w:hAnsi="Times New Roman" w:eastAsia="楷体_GB2312" w:cs="Times New Roman"/>
      <w:kern w:val="0"/>
      <w:sz w:val="28"/>
      <w:szCs w:val="24"/>
    </w:rPr>
  </w:style>
  <w:style w:type="paragraph" w:styleId="8">
    <w:name w:val="heading 6"/>
    <w:basedOn w:val="1"/>
    <w:next w:val="1"/>
    <w:link w:val="80"/>
    <w:qFormat/>
    <w:uiPriority w:val="0"/>
    <w:pPr>
      <w:keepNext/>
      <w:keepLines/>
      <w:widowControl/>
      <w:tabs>
        <w:tab w:val="left" w:pos="1440"/>
      </w:tabs>
      <w:spacing w:before="240" w:after="64" w:line="317" w:lineRule="auto"/>
      <w:ind w:left="1152" w:hanging="1152"/>
      <w:jc w:val="left"/>
      <w:outlineLvl w:val="5"/>
    </w:pPr>
    <w:rPr>
      <w:rFonts w:ascii="Arial" w:hAnsi="Arial" w:eastAsia="黑体" w:cs="Times New Roman"/>
      <w:b/>
      <w:bCs/>
      <w:kern w:val="0"/>
      <w:sz w:val="24"/>
      <w:szCs w:val="24"/>
    </w:rPr>
  </w:style>
  <w:style w:type="paragraph" w:styleId="9">
    <w:name w:val="heading 7"/>
    <w:basedOn w:val="1"/>
    <w:next w:val="1"/>
    <w:link w:val="81"/>
    <w:qFormat/>
    <w:uiPriority w:val="0"/>
    <w:pPr>
      <w:keepNext/>
      <w:keepLines/>
      <w:widowControl/>
      <w:tabs>
        <w:tab w:val="left" w:pos="2520"/>
      </w:tabs>
      <w:spacing w:before="240" w:after="64" w:line="317" w:lineRule="auto"/>
      <w:ind w:left="1296" w:hanging="1296"/>
      <w:jc w:val="left"/>
      <w:outlineLvl w:val="6"/>
    </w:pPr>
    <w:rPr>
      <w:rFonts w:ascii="Times New Roman" w:hAnsi="Times New Roman" w:cs="Times New Roman"/>
      <w:b/>
      <w:bCs/>
      <w:kern w:val="0"/>
      <w:sz w:val="24"/>
      <w:szCs w:val="24"/>
    </w:rPr>
  </w:style>
  <w:style w:type="paragraph" w:styleId="10">
    <w:name w:val="heading 8"/>
    <w:basedOn w:val="1"/>
    <w:next w:val="1"/>
    <w:link w:val="82"/>
    <w:qFormat/>
    <w:uiPriority w:val="0"/>
    <w:pPr>
      <w:keepNext/>
      <w:keepLines/>
      <w:widowControl/>
      <w:tabs>
        <w:tab w:val="left" w:pos="1440"/>
      </w:tabs>
      <w:spacing w:before="240" w:after="64" w:line="317" w:lineRule="auto"/>
      <w:ind w:left="1440" w:hanging="1440"/>
      <w:jc w:val="left"/>
      <w:outlineLvl w:val="7"/>
    </w:pPr>
    <w:rPr>
      <w:rFonts w:ascii="Arial" w:hAnsi="Arial" w:eastAsia="黑体" w:cs="Times New Roman"/>
      <w:kern w:val="0"/>
      <w:sz w:val="24"/>
      <w:szCs w:val="24"/>
    </w:rPr>
  </w:style>
  <w:style w:type="paragraph" w:styleId="11">
    <w:name w:val="heading 9"/>
    <w:basedOn w:val="1"/>
    <w:next w:val="1"/>
    <w:link w:val="83"/>
    <w:qFormat/>
    <w:uiPriority w:val="0"/>
    <w:pPr>
      <w:keepNext/>
      <w:keepLines/>
      <w:widowControl/>
      <w:tabs>
        <w:tab w:val="left" w:pos="1584"/>
      </w:tabs>
      <w:spacing w:before="240" w:after="64" w:line="317" w:lineRule="auto"/>
      <w:ind w:left="1584" w:hanging="1584"/>
      <w:jc w:val="left"/>
      <w:outlineLvl w:val="8"/>
    </w:pPr>
    <w:rPr>
      <w:rFonts w:ascii="Arial" w:hAnsi="Arial" w:eastAsia="黑体" w:cs="Times New Roman"/>
      <w:kern w:val="0"/>
      <w:sz w:val="20"/>
      <w:szCs w:val="21"/>
    </w:r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7"/>
    <w:qFormat/>
    <w:uiPriority w:val="0"/>
    <w:pPr>
      <w:ind w:firstLine="420" w:firstLineChars="200"/>
    </w:pPr>
    <w:rPr>
      <w:rFonts w:ascii="Times New Roman" w:hAnsi="Times New Roman" w:cs="Times New Roman"/>
      <w:kern w:val="0"/>
      <w:sz w:val="20"/>
      <w:szCs w:val="24"/>
    </w:rPr>
  </w:style>
  <w:style w:type="paragraph" w:styleId="12">
    <w:name w:val="toc 7"/>
    <w:basedOn w:val="1"/>
    <w:next w:val="1"/>
    <w:qFormat/>
    <w:uiPriority w:val="39"/>
    <w:pPr>
      <w:ind w:left="1260"/>
      <w:jc w:val="left"/>
    </w:pPr>
    <w:rPr>
      <w:rFonts w:ascii="Times New Roman" w:hAnsi="Times New Roman" w:cs="Times New Roman"/>
      <w:sz w:val="18"/>
      <w:szCs w:val="18"/>
    </w:rPr>
  </w:style>
  <w:style w:type="paragraph" w:styleId="13">
    <w:name w:val="List Bullet 4"/>
    <w:basedOn w:val="1"/>
    <w:qFormat/>
    <w:uiPriority w:val="0"/>
    <w:pPr>
      <w:tabs>
        <w:tab w:val="left" w:pos="1140"/>
      </w:tabs>
      <w:spacing w:line="360" w:lineRule="auto"/>
      <w:ind w:left="-137" w:leftChars="-137" w:hanging="288" w:hangingChars="137"/>
    </w:pPr>
    <w:rPr>
      <w:rFonts w:ascii="Times New Roman" w:hAnsi="Times New Roman" w:cs="Times New Roman"/>
      <w:szCs w:val="24"/>
    </w:rPr>
  </w:style>
  <w:style w:type="paragraph" w:styleId="14">
    <w:name w:val="index 8"/>
    <w:basedOn w:val="1"/>
    <w:next w:val="1"/>
    <w:qFormat/>
    <w:uiPriority w:val="0"/>
    <w:pPr>
      <w:snapToGrid w:val="0"/>
      <w:spacing w:afterLines="30" w:line="336" w:lineRule="auto"/>
      <w:ind w:left="1920" w:hanging="240" w:firstLineChars="200"/>
      <w:jc w:val="left"/>
    </w:pPr>
    <w:rPr>
      <w:rFonts w:ascii="Times New Roman" w:hAnsi="Times New Roman" w:eastAsia="楷体_GB2312" w:cs="Times New Roman"/>
      <w:sz w:val="20"/>
      <w:szCs w:val="24"/>
    </w:rPr>
  </w:style>
  <w:style w:type="paragraph" w:styleId="15">
    <w:name w:val="caption"/>
    <w:basedOn w:val="1"/>
    <w:next w:val="1"/>
    <w:qFormat/>
    <w:uiPriority w:val="0"/>
    <w:rPr>
      <w:rFonts w:ascii="Arial" w:hAnsi="Arial" w:eastAsia="黑体" w:cs="Arial"/>
      <w:sz w:val="20"/>
      <w:szCs w:val="20"/>
    </w:rPr>
  </w:style>
  <w:style w:type="paragraph" w:styleId="16">
    <w:name w:val="index 5"/>
    <w:basedOn w:val="1"/>
    <w:next w:val="1"/>
    <w:qFormat/>
    <w:uiPriority w:val="0"/>
    <w:pPr>
      <w:snapToGrid w:val="0"/>
      <w:spacing w:afterLines="30" w:line="336" w:lineRule="auto"/>
      <w:ind w:left="1200" w:hanging="240" w:firstLineChars="200"/>
      <w:jc w:val="left"/>
    </w:pPr>
    <w:rPr>
      <w:rFonts w:ascii="Times New Roman" w:hAnsi="Times New Roman" w:eastAsia="楷体_GB2312" w:cs="Times New Roman"/>
      <w:sz w:val="20"/>
      <w:szCs w:val="24"/>
    </w:rPr>
  </w:style>
  <w:style w:type="paragraph" w:styleId="17">
    <w:name w:val="List Bullet"/>
    <w:basedOn w:val="1"/>
    <w:qFormat/>
    <w:uiPriority w:val="0"/>
    <w:pPr>
      <w:tabs>
        <w:tab w:val="left" w:pos="360"/>
      </w:tabs>
      <w:ind w:left="360" w:hanging="360"/>
    </w:pPr>
    <w:rPr>
      <w:rFonts w:ascii="Times New Roman" w:hAnsi="Times New Roman" w:cs="Times New Roman"/>
      <w:szCs w:val="24"/>
    </w:rPr>
  </w:style>
  <w:style w:type="paragraph" w:styleId="18">
    <w:name w:val="Document Map"/>
    <w:basedOn w:val="1"/>
    <w:link w:val="84"/>
    <w:unhideWhenUsed/>
    <w:qFormat/>
    <w:uiPriority w:val="0"/>
    <w:rPr>
      <w:rFonts w:ascii="宋体" w:hAnsi="Times New Roman" w:cs="Times New Roman"/>
      <w:kern w:val="0"/>
      <w:sz w:val="18"/>
      <w:szCs w:val="18"/>
    </w:rPr>
  </w:style>
  <w:style w:type="paragraph" w:styleId="19">
    <w:name w:val="annotation text"/>
    <w:basedOn w:val="1"/>
    <w:link w:val="85"/>
    <w:unhideWhenUsed/>
    <w:qFormat/>
    <w:uiPriority w:val="99"/>
    <w:pPr>
      <w:jc w:val="left"/>
    </w:pPr>
  </w:style>
  <w:style w:type="paragraph" w:styleId="20">
    <w:name w:val="index 6"/>
    <w:basedOn w:val="1"/>
    <w:next w:val="1"/>
    <w:qFormat/>
    <w:uiPriority w:val="0"/>
    <w:pPr>
      <w:snapToGrid w:val="0"/>
      <w:spacing w:afterLines="30" w:line="336" w:lineRule="auto"/>
      <w:ind w:left="1440" w:hanging="240" w:firstLineChars="200"/>
      <w:jc w:val="left"/>
    </w:pPr>
    <w:rPr>
      <w:rFonts w:ascii="Times New Roman" w:hAnsi="Times New Roman" w:eastAsia="楷体_GB2312" w:cs="Times New Roman"/>
      <w:sz w:val="20"/>
      <w:szCs w:val="24"/>
    </w:rPr>
  </w:style>
  <w:style w:type="paragraph" w:styleId="21">
    <w:name w:val="Salutation"/>
    <w:basedOn w:val="1"/>
    <w:next w:val="1"/>
    <w:link w:val="86"/>
    <w:qFormat/>
    <w:uiPriority w:val="99"/>
    <w:pPr>
      <w:spacing w:line="400" w:lineRule="atLeast"/>
    </w:pPr>
    <w:rPr>
      <w:b/>
      <w:sz w:val="24"/>
    </w:rPr>
  </w:style>
  <w:style w:type="paragraph" w:styleId="22">
    <w:name w:val="Body Text 3"/>
    <w:basedOn w:val="1"/>
    <w:link w:val="87"/>
    <w:qFormat/>
    <w:uiPriority w:val="99"/>
    <w:rPr>
      <w:rFonts w:ascii="Times New Roman" w:hAnsi="Times New Roman" w:cs="Times New Roman"/>
      <w:kern w:val="0"/>
      <w:sz w:val="16"/>
      <w:szCs w:val="16"/>
    </w:rPr>
  </w:style>
  <w:style w:type="paragraph" w:styleId="23">
    <w:name w:val="List Bullet 3"/>
    <w:basedOn w:val="1"/>
    <w:qFormat/>
    <w:uiPriority w:val="0"/>
    <w:pPr>
      <w:tabs>
        <w:tab w:val="left" w:pos="1140"/>
        <w:tab w:val="left" w:pos="1200"/>
      </w:tabs>
      <w:ind w:left="1200" w:leftChars="400" w:hanging="720"/>
    </w:pPr>
    <w:rPr>
      <w:rFonts w:ascii="Times New Roman" w:hAnsi="Times New Roman" w:cs="Times New Roman"/>
      <w:szCs w:val="24"/>
    </w:rPr>
  </w:style>
  <w:style w:type="paragraph" w:styleId="24">
    <w:name w:val="Body Text"/>
    <w:basedOn w:val="1"/>
    <w:link w:val="88"/>
    <w:qFormat/>
    <w:uiPriority w:val="99"/>
    <w:pPr>
      <w:spacing w:after="120"/>
    </w:pPr>
    <w:rPr>
      <w:szCs w:val="24"/>
    </w:rPr>
  </w:style>
  <w:style w:type="paragraph" w:styleId="25">
    <w:name w:val="Body Text Indent"/>
    <w:basedOn w:val="1"/>
    <w:link w:val="89"/>
    <w:qFormat/>
    <w:uiPriority w:val="0"/>
    <w:pPr>
      <w:spacing w:after="120"/>
      <w:ind w:left="420" w:leftChars="200"/>
    </w:pPr>
    <w:rPr>
      <w:szCs w:val="24"/>
    </w:rPr>
  </w:style>
  <w:style w:type="paragraph" w:styleId="26">
    <w:name w:val="Block Text"/>
    <w:basedOn w:val="1"/>
    <w:qFormat/>
    <w:uiPriority w:val="0"/>
    <w:pPr>
      <w:spacing w:line="360" w:lineRule="auto"/>
      <w:ind w:left="1" w:right="-13" w:rightChars="-6" w:firstLine="480" w:firstLineChars="200"/>
    </w:pPr>
    <w:rPr>
      <w:rFonts w:ascii="Arial" w:hAnsi="Arial" w:cs="Arial"/>
      <w:sz w:val="24"/>
      <w:szCs w:val="24"/>
    </w:rPr>
  </w:style>
  <w:style w:type="paragraph" w:styleId="27">
    <w:name w:val="List Bullet 2"/>
    <w:basedOn w:val="1"/>
    <w:qFormat/>
    <w:uiPriority w:val="0"/>
    <w:pPr>
      <w:tabs>
        <w:tab w:val="left" w:pos="780"/>
        <w:tab w:val="left" w:pos="1460"/>
      </w:tabs>
      <w:ind w:left="780" w:leftChars="200" w:hanging="900"/>
    </w:pPr>
    <w:rPr>
      <w:rFonts w:ascii="Times New Roman" w:hAnsi="Times New Roman" w:cs="Times New Roman"/>
      <w:szCs w:val="24"/>
    </w:rPr>
  </w:style>
  <w:style w:type="paragraph" w:styleId="28">
    <w:name w:val="index 4"/>
    <w:basedOn w:val="1"/>
    <w:next w:val="1"/>
    <w:qFormat/>
    <w:uiPriority w:val="0"/>
    <w:pPr>
      <w:snapToGrid w:val="0"/>
      <w:spacing w:afterLines="30" w:line="336" w:lineRule="auto"/>
      <w:ind w:left="960" w:hanging="240" w:firstLineChars="200"/>
      <w:jc w:val="left"/>
    </w:pPr>
    <w:rPr>
      <w:rFonts w:ascii="Times New Roman" w:hAnsi="Times New Roman" w:eastAsia="楷体_GB2312" w:cs="Times New Roman"/>
      <w:sz w:val="20"/>
      <w:szCs w:val="24"/>
    </w:rPr>
  </w:style>
  <w:style w:type="paragraph" w:styleId="29">
    <w:name w:val="toc 5"/>
    <w:basedOn w:val="1"/>
    <w:next w:val="1"/>
    <w:qFormat/>
    <w:uiPriority w:val="39"/>
    <w:pPr>
      <w:ind w:left="840"/>
      <w:jc w:val="left"/>
    </w:pPr>
    <w:rPr>
      <w:rFonts w:ascii="Times New Roman" w:hAnsi="Times New Roman" w:cs="Times New Roman"/>
      <w:sz w:val="18"/>
      <w:szCs w:val="18"/>
    </w:rPr>
  </w:style>
  <w:style w:type="paragraph" w:styleId="30">
    <w:name w:val="toc 3"/>
    <w:basedOn w:val="1"/>
    <w:next w:val="1"/>
    <w:qFormat/>
    <w:uiPriority w:val="39"/>
    <w:pPr>
      <w:ind w:left="420"/>
      <w:jc w:val="left"/>
    </w:pPr>
    <w:rPr>
      <w:rFonts w:ascii="Times New Roman" w:hAnsi="Times New Roman" w:cs="Times New Roman"/>
      <w:i/>
      <w:iCs/>
      <w:sz w:val="20"/>
      <w:szCs w:val="20"/>
    </w:rPr>
  </w:style>
  <w:style w:type="paragraph" w:styleId="31">
    <w:name w:val="Plain Text"/>
    <w:basedOn w:val="1"/>
    <w:link w:val="90"/>
    <w:qFormat/>
    <w:uiPriority w:val="99"/>
    <w:rPr>
      <w:rFonts w:ascii="宋体" w:hAnsi="Courier New" w:cs="Times New Roman"/>
      <w:kern w:val="0"/>
      <w:sz w:val="20"/>
      <w:szCs w:val="21"/>
    </w:rPr>
  </w:style>
  <w:style w:type="paragraph" w:styleId="32">
    <w:name w:val="List Bullet 5"/>
    <w:basedOn w:val="1"/>
    <w:qFormat/>
    <w:uiPriority w:val="0"/>
    <w:pPr>
      <w:tabs>
        <w:tab w:val="left" w:pos="425"/>
      </w:tabs>
      <w:ind w:left="425" w:hanging="425"/>
    </w:pPr>
    <w:rPr>
      <w:rFonts w:ascii="Times New Roman" w:hAnsi="Times New Roman" w:cs="Times New Roman"/>
      <w:szCs w:val="24"/>
    </w:rPr>
  </w:style>
  <w:style w:type="paragraph" w:styleId="33">
    <w:name w:val="toc 8"/>
    <w:basedOn w:val="1"/>
    <w:next w:val="1"/>
    <w:qFormat/>
    <w:uiPriority w:val="39"/>
    <w:pPr>
      <w:ind w:left="1470"/>
      <w:jc w:val="left"/>
    </w:pPr>
    <w:rPr>
      <w:rFonts w:ascii="Times New Roman" w:hAnsi="Times New Roman" w:cs="Times New Roman"/>
      <w:sz w:val="18"/>
      <w:szCs w:val="18"/>
    </w:rPr>
  </w:style>
  <w:style w:type="paragraph" w:styleId="34">
    <w:name w:val="index 3"/>
    <w:basedOn w:val="1"/>
    <w:next w:val="1"/>
    <w:qFormat/>
    <w:uiPriority w:val="0"/>
    <w:pPr>
      <w:snapToGrid w:val="0"/>
      <w:spacing w:afterLines="30" w:line="336" w:lineRule="auto"/>
      <w:ind w:left="720" w:hanging="240" w:firstLineChars="200"/>
      <w:jc w:val="left"/>
    </w:pPr>
    <w:rPr>
      <w:rFonts w:ascii="Times New Roman" w:hAnsi="Times New Roman" w:eastAsia="楷体_GB2312" w:cs="Times New Roman"/>
      <w:sz w:val="20"/>
      <w:szCs w:val="24"/>
    </w:rPr>
  </w:style>
  <w:style w:type="paragraph" w:styleId="35">
    <w:name w:val="Date"/>
    <w:basedOn w:val="1"/>
    <w:next w:val="1"/>
    <w:link w:val="91"/>
    <w:qFormat/>
    <w:uiPriority w:val="99"/>
    <w:rPr>
      <w:sz w:val="24"/>
    </w:rPr>
  </w:style>
  <w:style w:type="paragraph" w:styleId="36">
    <w:name w:val="Body Text Indent 2"/>
    <w:basedOn w:val="1"/>
    <w:link w:val="92"/>
    <w:qFormat/>
    <w:uiPriority w:val="99"/>
    <w:pPr>
      <w:spacing w:line="500" w:lineRule="exact"/>
      <w:ind w:firstLine="540" w:firstLineChars="200"/>
    </w:pPr>
    <w:rPr>
      <w:rFonts w:ascii="宋体" w:hAnsi="宋体"/>
      <w:sz w:val="27"/>
      <w:szCs w:val="27"/>
    </w:rPr>
  </w:style>
  <w:style w:type="paragraph" w:styleId="37">
    <w:name w:val="endnote text"/>
    <w:basedOn w:val="1"/>
    <w:link w:val="93"/>
    <w:qFormat/>
    <w:uiPriority w:val="99"/>
    <w:pPr>
      <w:snapToGrid w:val="0"/>
      <w:jc w:val="left"/>
    </w:pPr>
    <w:rPr>
      <w:szCs w:val="24"/>
    </w:rPr>
  </w:style>
  <w:style w:type="paragraph" w:styleId="38">
    <w:name w:val="Balloon Text"/>
    <w:basedOn w:val="1"/>
    <w:link w:val="94"/>
    <w:qFormat/>
    <w:uiPriority w:val="99"/>
    <w:rPr>
      <w:rFonts w:ascii="Times New Roman" w:hAnsi="Times New Roman" w:cs="Times New Roman"/>
      <w:kern w:val="0"/>
      <w:sz w:val="18"/>
      <w:szCs w:val="18"/>
    </w:rPr>
  </w:style>
  <w:style w:type="paragraph" w:styleId="39">
    <w:name w:val="footer"/>
    <w:basedOn w:val="1"/>
    <w:link w:val="95"/>
    <w:qFormat/>
    <w:uiPriority w:val="99"/>
    <w:pPr>
      <w:tabs>
        <w:tab w:val="center" w:pos="4153"/>
        <w:tab w:val="right" w:pos="8306"/>
      </w:tabs>
      <w:snapToGrid w:val="0"/>
      <w:jc w:val="left"/>
    </w:pPr>
    <w:rPr>
      <w:rFonts w:ascii="Times New Roman" w:hAnsi="Times New Roman" w:cs="Times New Roman"/>
      <w:kern w:val="0"/>
      <w:sz w:val="18"/>
      <w:szCs w:val="20"/>
    </w:rPr>
  </w:style>
  <w:style w:type="paragraph" w:styleId="40">
    <w:name w:val="header"/>
    <w:basedOn w:val="1"/>
    <w:link w:val="96"/>
    <w:qFormat/>
    <w:uiPriority w:val="0"/>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41">
    <w:name w:val="toc 1"/>
    <w:basedOn w:val="1"/>
    <w:next w:val="1"/>
    <w:qFormat/>
    <w:uiPriority w:val="39"/>
    <w:pPr>
      <w:tabs>
        <w:tab w:val="right" w:leader="dot" w:pos="9004"/>
      </w:tabs>
      <w:spacing w:before="120" w:after="120" w:line="360" w:lineRule="auto"/>
      <w:jc w:val="center"/>
    </w:pPr>
    <w:rPr>
      <w:rFonts w:ascii="Times New Roman" w:hAnsi="Times New Roman" w:cs="Times New Roman"/>
      <w:b/>
      <w:bCs/>
      <w:caps/>
      <w:sz w:val="20"/>
      <w:szCs w:val="20"/>
    </w:rPr>
  </w:style>
  <w:style w:type="paragraph" w:styleId="42">
    <w:name w:val="toc 4"/>
    <w:basedOn w:val="1"/>
    <w:next w:val="1"/>
    <w:qFormat/>
    <w:uiPriority w:val="39"/>
    <w:pPr>
      <w:ind w:left="630"/>
      <w:jc w:val="left"/>
    </w:pPr>
    <w:rPr>
      <w:rFonts w:ascii="Times New Roman" w:hAnsi="Times New Roman" w:cs="Times New Roman"/>
      <w:sz w:val="18"/>
      <w:szCs w:val="18"/>
    </w:rPr>
  </w:style>
  <w:style w:type="paragraph" w:styleId="43">
    <w:name w:val="index heading"/>
    <w:basedOn w:val="1"/>
    <w:next w:val="44"/>
    <w:qFormat/>
    <w:uiPriority w:val="0"/>
    <w:pPr>
      <w:snapToGrid w:val="0"/>
      <w:spacing w:before="120" w:afterLines="30" w:line="336" w:lineRule="auto"/>
      <w:ind w:firstLine="200" w:firstLineChars="200"/>
      <w:jc w:val="left"/>
    </w:pPr>
    <w:rPr>
      <w:rFonts w:ascii="Times New Roman" w:hAnsi="Times New Roman" w:eastAsia="楷体_GB2312" w:cs="Times New Roman"/>
      <w:b/>
      <w:i/>
      <w:sz w:val="20"/>
      <w:szCs w:val="24"/>
    </w:rPr>
  </w:style>
  <w:style w:type="paragraph" w:styleId="44">
    <w:name w:val="index 1"/>
    <w:basedOn w:val="1"/>
    <w:next w:val="1"/>
    <w:qFormat/>
    <w:uiPriority w:val="0"/>
    <w:pPr>
      <w:spacing w:line="220" w:lineRule="exact"/>
      <w:jc w:val="center"/>
    </w:pPr>
    <w:rPr>
      <w:rFonts w:ascii="仿宋_GB2312" w:hAnsi="Times New Roman" w:eastAsia="仿宋_GB2312" w:cs="Times New Roman"/>
      <w:szCs w:val="21"/>
    </w:rPr>
  </w:style>
  <w:style w:type="paragraph" w:styleId="45">
    <w:name w:val="Subtitle"/>
    <w:basedOn w:val="1"/>
    <w:next w:val="1"/>
    <w:link w:val="97"/>
    <w:qFormat/>
    <w:uiPriority w:val="0"/>
    <w:pPr>
      <w:spacing w:before="240" w:after="60" w:line="312" w:lineRule="auto"/>
      <w:jc w:val="center"/>
      <w:outlineLvl w:val="1"/>
    </w:pPr>
    <w:rPr>
      <w:rFonts w:ascii="Cambria" w:hAnsi="Cambria" w:cs="Times New Roman"/>
      <w:b/>
      <w:bCs/>
      <w:kern w:val="28"/>
      <w:sz w:val="32"/>
      <w:szCs w:val="32"/>
    </w:rPr>
  </w:style>
  <w:style w:type="paragraph" w:styleId="46">
    <w:name w:val="List"/>
    <w:basedOn w:val="1"/>
    <w:qFormat/>
    <w:uiPriority w:val="0"/>
    <w:pPr>
      <w:ind w:left="420" w:hanging="420"/>
    </w:pPr>
    <w:rPr>
      <w:rFonts w:ascii="Times New Roman" w:hAnsi="Times New Roman" w:cs="Times New Roman"/>
      <w:szCs w:val="20"/>
    </w:rPr>
  </w:style>
  <w:style w:type="paragraph" w:styleId="47">
    <w:name w:val="footnote text"/>
    <w:basedOn w:val="1"/>
    <w:link w:val="98"/>
    <w:qFormat/>
    <w:uiPriority w:val="99"/>
    <w:pPr>
      <w:snapToGrid w:val="0"/>
      <w:jc w:val="left"/>
    </w:pPr>
    <w:rPr>
      <w:rFonts w:ascii="Times New Roman" w:hAnsi="Times New Roman" w:cs="Times New Roman"/>
      <w:kern w:val="0"/>
      <w:sz w:val="18"/>
      <w:szCs w:val="18"/>
    </w:rPr>
  </w:style>
  <w:style w:type="paragraph" w:styleId="48">
    <w:name w:val="toc 6"/>
    <w:basedOn w:val="1"/>
    <w:next w:val="1"/>
    <w:qFormat/>
    <w:uiPriority w:val="39"/>
    <w:pPr>
      <w:ind w:left="1050"/>
      <w:jc w:val="left"/>
    </w:pPr>
    <w:rPr>
      <w:rFonts w:ascii="Times New Roman" w:hAnsi="Times New Roman" w:cs="Times New Roman"/>
      <w:sz w:val="18"/>
      <w:szCs w:val="18"/>
    </w:rPr>
  </w:style>
  <w:style w:type="paragraph" w:styleId="49">
    <w:name w:val="Body Text Indent 3"/>
    <w:basedOn w:val="1"/>
    <w:link w:val="99"/>
    <w:qFormat/>
    <w:uiPriority w:val="99"/>
    <w:pPr>
      <w:spacing w:after="120"/>
      <w:ind w:left="420" w:leftChars="200"/>
    </w:pPr>
    <w:rPr>
      <w:rFonts w:ascii="Times New Roman" w:hAnsi="Times New Roman" w:cs="Times New Roman"/>
      <w:kern w:val="0"/>
      <w:sz w:val="16"/>
      <w:szCs w:val="16"/>
    </w:rPr>
  </w:style>
  <w:style w:type="paragraph" w:styleId="50">
    <w:name w:val="index 7"/>
    <w:basedOn w:val="1"/>
    <w:next w:val="1"/>
    <w:qFormat/>
    <w:uiPriority w:val="0"/>
    <w:pPr>
      <w:snapToGrid w:val="0"/>
      <w:spacing w:afterLines="30" w:line="336" w:lineRule="auto"/>
      <w:ind w:left="1680" w:hanging="240" w:firstLineChars="200"/>
      <w:jc w:val="left"/>
    </w:pPr>
    <w:rPr>
      <w:rFonts w:ascii="Times New Roman" w:hAnsi="Times New Roman" w:eastAsia="楷体_GB2312" w:cs="Times New Roman"/>
      <w:sz w:val="20"/>
      <w:szCs w:val="24"/>
    </w:rPr>
  </w:style>
  <w:style w:type="paragraph" w:styleId="51">
    <w:name w:val="index 9"/>
    <w:basedOn w:val="1"/>
    <w:next w:val="1"/>
    <w:qFormat/>
    <w:uiPriority w:val="0"/>
    <w:pPr>
      <w:snapToGrid w:val="0"/>
      <w:spacing w:afterLines="30" w:line="336" w:lineRule="auto"/>
      <w:ind w:left="2160" w:hanging="240" w:firstLineChars="200"/>
      <w:jc w:val="left"/>
    </w:pPr>
    <w:rPr>
      <w:rFonts w:ascii="Times New Roman" w:hAnsi="Times New Roman" w:eastAsia="楷体_GB2312" w:cs="Times New Roman"/>
      <w:sz w:val="20"/>
      <w:szCs w:val="24"/>
    </w:rPr>
  </w:style>
  <w:style w:type="paragraph" w:styleId="52">
    <w:name w:val="table of figures"/>
    <w:basedOn w:val="1"/>
    <w:next w:val="1"/>
    <w:semiHidden/>
    <w:qFormat/>
    <w:uiPriority w:val="0"/>
    <w:pPr>
      <w:ind w:left="840" w:hanging="420"/>
    </w:pPr>
    <w:rPr>
      <w:rFonts w:ascii="Times New Roman" w:hAnsi="Times New Roman" w:cs="Times New Roman"/>
      <w:szCs w:val="24"/>
    </w:rPr>
  </w:style>
  <w:style w:type="paragraph" w:styleId="53">
    <w:name w:val="toc 2"/>
    <w:basedOn w:val="1"/>
    <w:next w:val="1"/>
    <w:qFormat/>
    <w:uiPriority w:val="39"/>
    <w:pPr>
      <w:ind w:left="210"/>
      <w:jc w:val="left"/>
    </w:pPr>
    <w:rPr>
      <w:rFonts w:ascii="Times New Roman" w:hAnsi="Times New Roman" w:cs="Times New Roman"/>
      <w:smallCaps/>
      <w:sz w:val="20"/>
      <w:szCs w:val="20"/>
    </w:rPr>
  </w:style>
  <w:style w:type="paragraph" w:styleId="54">
    <w:name w:val="toc 9"/>
    <w:basedOn w:val="1"/>
    <w:next w:val="1"/>
    <w:qFormat/>
    <w:uiPriority w:val="39"/>
    <w:pPr>
      <w:ind w:left="1680"/>
      <w:jc w:val="left"/>
    </w:pPr>
    <w:rPr>
      <w:rFonts w:ascii="Times New Roman" w:hAnsi="Times New Roman" w:cs="Times New Roman"/>
      <w:sz w:val="18"/>
      <w:szCs w:val="18"/>
    </w:rPr>
  </w:style>
  <w:style w:type="paragraph" w:styleId="55">
    <w:name w:val="Body Text 2"/>
    <w:basedOn w:val="1"/>
    <w:link w:val="100"/>
    <w:qFormat/>
    <w:uiPriority w:val="99"/>
    <w:pPr>
      <w:spacing w:after="120" w:line="480" w:lineRule="auto"/>
    </w:pPr>
    <w:rPr>
      <w:szCs w:val="24"/>
    </w:rPr>
  </w:style>
  <w:style w:type="paragraph" w:styleId="56">
    <w:name w:val="HTML Preformatted"/>
    <w:basedOn w:val="1"/>
    <w:link w:val="10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Times New Roman"/>
      <w:kern w:val="0"/>
      <w:sz w:val="20"/>
      <w:szCs w:val="20"/>
    </w:rPr>
  </w:style>
  <w:style w:type="paragraph" w:styleId="57">
    <w:name w:val="Normal (Web)"/>
    <w:basedOn w:val="1"/>
    <w:qFormat/>
    <w:uiPriority w:val="0"/>
    <w:rPr>
      <w:rFonts w:ascii="Times New Roman" w:hAnsi="Times New Roman" w:cs="Times New Roman"/>
      <w:sz w:val="24"/>
      <w:szCs w:val="24"/>
    </w:rPr>
  </w:style>
  <w:style w:type="paragraph" w:styleId="58">
    <w:name w:val="index 2"/>
    <w:basedOn w:val="1"/>
    <w:next w:val="1"/>
    <w:qFormat/>
    <w:uiPriority w:val="0"/>
    <w:pPr>
      <w:snapToGrid w:val="0"/>
      <w:spacing w:afterLines="30" w:line="336" w:lineRule="auto"/>
      <w:ind w:left="480" w:hanging="240" w:firstLineChars="200"/>
      <w:jc w:val="left"/>
    </w:pPr>
    <w:rPr>
      <w:rFonts w:ascii="Times New Roman" w:hAnsi="Times New Roman" w:eastAsia="楷体_GB2312" w:cs="Times New Roman"/>
      <w:sz w:val="20"/>
      <w:szCs w:val="24"/>
    </w:rPr>
  </w:style>
  <w:style w:type="paragraph" w:styleId="59">
    <w:name w:val="Title"/>
    <w:basedOn w:val="1"/>
    <w:link w:val="102"/>
    <w:qFormat/>
    <w:uiPriority w:val="0"/>
    <w:pPr>
      <w:adjustRightInd w:val="0"/>
      <w:spacing w:before="240" w:after="60" w:line="420" w:lineRule="atLeast"/>
      <w:jc w:val="center"/>
      <w:textAlignment w:val="baseline"/>
      <w:outlineLvl w:val="0"/>
    </w:pPr>
    <w:rPr>
      <w:rFonts w:ascii="Cambria" w:hAnsi="Cambria" w:cs="Times New Roman"/>
      <w:b/>
      <w:bCs/>
      <w:kern w:val="0"/>
      <w:sz w:val="32"/>
      <w:szCs w:val="32"/>
    </w:rPr>
  </w:style>
  <w:style w:type="paragraph" w:styleId="60">
    <w:name w:val="annotation subject"/>
    <w:basedOn w:val="19"/>
    <w:next w:val="19"/>
    <w:link w:val="103"/>
    <w:qFormat/>
    <w:uiPriority w:val="99"/>
    <w:rPr>
      <w:rFonts w:ascii="Times New Roman" w:hAnsi="Times New Roman" w:cs="Times New Roman"/>
      <w:b/>
      <w:bCs/>
      <w:kern w:val="0"/>
      <w:sz w:val="20"/>
      <w:szCs w:val="20"/>
    </w:rPr>
  </w:style>
  <w:style w:type="paragraph" w:styleId="61">
    <w:name w:val="Body Text First Indent"/>
    <w:basedOn w:val="24"/>
    <w:link w:val="104"/>
    <w:qFormat/>
    <w:uiPriority w:val="99"/>
    <w:pPr>
      <w:ind w:firstLine="420" w:firstLineChars="100"/>
    </w:pPr>
    <w:rPr>
      <w:rFonts w:ascii="Times New Roman" w:hAnsi="Times New Roman" w:cs="Times New Roman"/>
    </w:rPr>
  </w:style>
  <w:style w:type="paragraph" w:styleId="62">
    <w:name w:val="Body Text First Indent 2"/>
    <w:basedOn w:val="25"/>
    <w:link w:val="105"/>
    <w:qFormat/>
    <w:uiPriority w:val="99"/>
    <w:pPr>
      <w:ind w:firstLine="420" w:firstLineChars="200"/>
    </w:p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color w:val="CC0033"/>
    </w:rPr>
  </w:style>
  <w:style w:type="character" w:styleId="71">
    <w:name w:val="Hyperlink"/>
    <w:qFormat/>
    <w:uiPriority w:val="99"/>
    <w:rPr>
      <w:color w:val="0000FF"/>
      <w:u w:val="single"/>
    </w:rPr>
  </w:style>
  <w:style w:type="character" w:styleId="72">
    <w:name w:val="annotation reference"/>
    <w:qFormat/>
    <w:uiPriority w:val="0"/>
    <w:rPr>
      <w:sz w:val="21"/>
      <w:szCs w:val="21"/>
    </w:rPr>
  </w:style>
  <w:style w:type="character" w:styleId="73">
    <w:name w:val="footnote reference"/>
    <w:qFormat/>
    <w:uiPriority w:val="0"/>
    <w:rPr>
      <w:vertAlign w:val="superscript"/>
    </w:rPr>
  </w:style>
  <w:style w:type="character" w:customStyle="1" w:styleId="74">
    <w:name w:val="标题 1 Char"/>
    <w:link w:val="2"/>
    <w:qFormat/>
    <w:uiPriority w:val="0"/>
    <w:rPr>
      <w:rFonts w:ascii="Times New Roman" w:hAnsi="Times New Roman" w:eastAsia="宋体" w:cs="Times New Roman"/>
      <w:b/>
      <w:kern w:val="44"/>
      <w:sz w:val="44"/>
      <w:szCs w:val="20"/>
    </w:rPr>
  </w:style>
  <w:style w:type="character" w:customStyle="1" w:styleId="75">
    <w:name w:val="标题 2 Char1"/>
    <w:link w:val="3"/>
    <w:qFormat/>
    <w:uiPriority w:val="0"/>
    <w:rPr>
      <w:rFonts w:ascii="Arial" w:hAnsi="Arial" w:eastAsia="宋体" w:cs="Times New Roman"/>
      <w:b/>
      <w:sz w:val="32"/>
      <w:szCs w:val="20"/>
    </w:rPr>
  </w:style>
  <w:style w:type="character" w:customStyle="1" w:styleId="76">
    <w:name w:val="标题 3 Char"/>
    <w:link w:val="5"/>
    <w:qFormat/>
    <w:uiPriority w:val="0"/>
    <w:rPr>
      <w:rFonts w:ascii="Times New Roman" w:hAnsi="Times New Roman" w:eastAsia="宋体" w:cs="Times New Roman"/>
      <w:b/>
      <w:sz w:val="32"/>
      <w:szCs w:val="24"/>
    </w:rPr>
  </w:style>
  <w:style w:type="character" w:customStyle="1" w:styleId="77">
    <w:name w:val="正文缩进 Char"/>
    <w:link w:val="4"/>
    <w:qFormat/>
    <w:uiPriority w:val="0"/>
    <w:rPr>
      <w:rFonts w:ascii="Times New Roman" w:hAnsi="Times New Roman" w:eastAsia="宋体" w:cs="Times New Roman"/>
      <w:szCs w:val="24"/>
    </w:rPr>
  </w:style>
  <w:style w:type="character" w:customStyle="1" w:styleId="78">
    <w:name w:val="标题 4 Char1"/>
    <w:link w:val="6"/>
    <w:qFormat/>
    <w:uiPriority w:val="0"/>
    <w:rPr>
      <w:rFonts w:ascii="Times New Roman" w:hAnsi="Times New Roman" w:eastAsia="宋体" w:cs="Times New Roman"/>
      <w:i/>
      <w:kern w:val="0"/>
      <w:szCs w:val="20"/>
    </w:rPr>
  </w:style>
  <w:style w:type="character" w:customStyle="1" w:styleId="79">
    <w:name w:val="标题 5 Char"/>
    <w:link w:val="7"/>
    <w:qFormat/>
    <w:uiPriority w:val="0"/>
    <w:rPr>
      <w:rFonts w:ascii="Times New Roman" w:hAnsi="Times New Roman" w:eastAsia="楷体_GB2312" w:cs="Times New Roman"/>
      <w:sz w:val="28"/>
      <w:szCs w:val="24"/>
    </w:rPr>
  </w:style>
  <w:style w:type="character" w:customStyle="1" w:styleId="80">
    <w:name w:val="标题 6 Char"/>
    <w:link w:val="8"/>
    <w:qFormat/>
    <w:uiPriority w:val="0"/>
    <w:rPr>
      <w:rFonts w:ascii="Arial" w:hAnsi="Arial" w:eastAsia="黑体" w:cs="Times New Roman"/>
      <w:b/>
      <w:bCs/>
      <w:kern w:val="0"/>
      <w:sz w:val="24"/>
      <w:szCs w:val="24"/>
    </w:rPr>
  </w:style>
  <w:style w:type="character" w:customStyle="1" w:styleId="81">
    <w:name w:val="标题 7 Char"/>
    <w:link w:val="9"/>
    <w:qFormat/>
    <w:uiPriority w:val="0"/>
    <w:rPr>
      <w:rFonts w:ascii="Times New Roman" w:hAnsi="Times New Roman" w:eastAsia="宋体" w:cs="Times New Roman"/>
      <w:b/>
      <w:bCs/>
      <w:kern w:val="0"/>
      <w:sz w:val="24"/>
      <w:szCs w:val="24"/>
    </w:rPr>
  </w:style>
  <w:style w:type="character" w:customStyle="1" w:styleId="82">
    <w:name w:val="标题 8 Char"/>
    <w:link w:val="10"/>
    <w:qFormat/>
    <w:uiPriority w:val="0"/>
    <w:rPr>
      <w:rFonts w:ascii="Arial" w:hAnsi="Arial" w:eastAsia="黑体" w:cs="Times New Roman"/>
      <w:kern w:val="0"/>
      <w:sz w:val="24"/>
      <w:szCs w:val="24"/>
    </w:rPr>
  </w:style>
  <w:style w:type="character" w:customStyle="1" w:styleId="83">
    <w:name w:val="标题 9 Char"/>
    <w:link w:val="11"/>
    <w:qFormat/>
    <w:uiPriority w:val="0"/>
    <w:rPr>
      <w:rFonts w:ascii="Arial" w:hAnsi="Arial" w:eastAsia="黑体" w:cs="Times New Roman"/>
      <w:kern w:val="0"/>
      <w:szCs w:val="21"/>
    </w:rPr>
  </w:style>
  <w:style w:type="character" w:customStyle="1" w:styleId="84">
    <w:name w:val="文档结构图 Char"/>
    <w:link w:val="18"/>
    <w:qFormat/>
    <w:uiPriority w:val="0"/>
    <w:rPr>
      <w:rFonts w:ascii="宋体" w:eastAsia="宋体"/>
      <w:sz w:val="18"/>
      <w:szCs w:val="18"/>
    </w:rPr>
  </w:style>
  <w:style w:type="character" w:customStyle="1" w:styleId="85">
    <w:name w:val="批注文字 Char1"/>
    <w:link w:val="19"/>
    <w:semiHidden/>
    <w:qFormat/>
    <w:uiPriority w:val="99"/>
  </w:style>
  <w:style w:type="character" w:customStyle="1" w:styleId="86">
    <w:name w:val="称呼 Char2"/>
    <w:link w:val="21"/>
    <w:semiHidden/>
    <w:qFormat/>
    <w:uiPriority w:val="99"/>
  </w:style>
  <w:style w:type="character" w:customStyle="1" w:styleId="87">
    <w:name w:val="正文文本 3 Char1"/>
    <w:link w:val="22"/>
    <w:semiHidden/>
    <w:qFormat/>
    <w:uiPriority w:val="99"/>
    <w:rPr>
      <w:sz w:val="16"/>
      <w:szCs w:val="16"/>
    </w:rPr>
  </w:style>
  <w:style w:type="character" w:customStyle="1" w:styleId="88">
    <w:name w:val="正文文本 Char2"/>
    <w:link w:val="24"/>
    <w:semiHidden/>
    <w:qFormat/>
    <w:uiPriority w:val="99"/>
  </w:style>
  <w:style w:type="character" w:customStyle="1" w:styleId="89">
    <w:name w:val="正文文本缩进 Char1"/>
    <w:link w:val="25"/>
    <w:qFormat/>
    <w:uiPriority w:val="0"/>
  </w:style>
  <w:style w:type="character" w:customStyle="1" w:styleId="90">
    <w:name w:val="纯文本 Char2"/>
    <w:link w:val="31"/>
    <w:semiHidden/>
    <w:qFormat/>
    <w:uiPriority w:val="99"/>
    <w:rPr>
      <w:rFonts w:ascii="宋体" w:hAnsi="Courier New" w:eastAsia="宋体" w:cs="Courier New"/>
      <w:szCs w:val="21"/>
    </w:rPr>
  </w:style>
  <w:style w:type="character" w:customStyle="1" w:styleId="91">
    <w:name w:val="日期 Char1"/>
    <w:link w:val="35"/>
    <w:semiHidden/>
    <w:qFormat/>
    <w:uiPriority w:val="99"/>
  </w:style>
  <w:style w:type="character" w:customStyle="1" w:styleId="92">
    <w:name w:val="正文文本缩进 2 Char1"/>
    <w:link w:val="36"/>
    <w:semiHidden/>
    <w:qFormat/>
    <w:uiPriority w:val="99"/>
  </w:style>
  <w:style w:type="character" w:customStyle="1" w:styleId="93">
    <w:name w:val="尾注文本 Char1"/>
    <w:link w:val="37"/>
    <w:semiHidden/>
    <w:qFormat/>
    <w:uiPriority w:val="99"/>
  </w:style>
  <w:style w:type="character" w:customStyle="1" w:styleId="94">
    <w:name w:val="批注框文本 Char1"/>
    <w:link w:val="38"/>
    <w:semiHidden/>
    <w:qFormat/>
    <w:uiPriority w:val="99"/>
    <w:rPr>
      <w:sz w:val="18"/>
      <w:szCs w:val="18"/>
    </w:rPr>
  </w:style>
  <w:style w:type="character" w:customStyle="1" w:styleId="95">
    <w:name w:val="页脚 Char"/>
    <w:link w:val="39"/>
    <w:qFormat/>
    <w:uiPriority w:val="99"/>
    <w:rPr>
      <w:rFonts w:ascii="Times New Roman" w:hAnsi="Times New Roman" w:eastAsia="宋体" w:cs="Times New Roman"/>
      <w:sz w:val="18"/>
      <w:szCs w:val="20"/>
    </w:rPr>
  </w:style>
  <w:style w:type="character" w:customStyle="1" w:styleId="96">
    <w:name w:val="页眉 Char1"/>
    <w:link w:val="40"/>
    <w:semiHidden/>
    <w:qFormat/>
    <w:uiPriority w:val="0"/>
    <w:rPr>
      <w:sz w:val="18"/>
      <w:szCs w:val="18"/>
    </w:rPr>
  </w:style>
  <w:style w:type="character" w:customStyle="1" w:styleId="97">
    <w:name w:val="副标题 Char1"/>
    <w:link w:val="45"/>
    <w:qFormat/>
    <w:uiPriority w:val="0"/>
    <w:rPr>
      <w:rFonts w:ascii="Cambria" w:hAnsi="Cambria" w:eastAsia="宋体" w:cs="黑体"/>
      <w:b/>
      <w:bCs/>
      <w:kern w:val="28"/>
      <w:sz w:val="32"/>
      <w:szCs w:val="32"/>
    </w:rPr>
  </w:style>
  <w:style w:type="character" w:customStyle="1" w:styleId="98">
    <w:name w:val="脚注文本 Char2"/>
    <w:link w:val="47"/>
    <w:semiHidden/>
    <w:qFormat/>
    <w:uiPriority w:val="99"/>
    <w:rPr>
      <w:sz w:val="18"/>
      <w:szCs w:val="18"/>
    </w:rPr>
  </w:style>
  <w:style w:type="character" w:customStyle="1" w:styleId="99">
    <w:name w:val="正文文本缩进 3 Char1"/>
    <w:link w:val="49"/>
    <w:semiHidden/>
    <w:qFormat/>
    <w:uiPriority w:val="99"/>
    <w:rPr>
      <w:sz w:val="16"/>
      <w:szCs w:val="16"/>
    </w:rPr>
  </w:style>
  <w:style w:type="character" w:customStyle="1" w:styleId="100">
    <w:name w:val="正文文本 2 Char1"/>
    <w:link w:val="55"/>
    <w:semiHidden/>
    <w:qFormat/>
    <w:uiPriority w:val="99"/>
  </w:style>
  <w:style w:type="character" w:customStyle="1" w:styleId="101">
    <w:name w:val="HTML 预设格式 Char1"/>
    <w:link w:val="56"/>
    <w:semiHidden/>
    <w:qFormat/>
    <w:uiPriority w:val="99"/>
    <w:rPr>
      <w:rFonts w:ascii="Courier New" w:hAnsi="Courier New" w:cs="Courier New"/>
      <w:sz w:val="20"/>
      <w:szCs w:val="20"/>
    </w:rPr>
  </w:style>
  <w:style w:type="character" w:customStyle="1" w:styleId="102">
    <w:name w:val="标题 Char2"/>
    <w:link w:val="59"/>
    <w:qFormat/>
    <w:uiPriority w:val="0"/>
    <w:rPr>
      <w:rFonts w:ascii="Cambria" w:hAnsi="Cambria" w:eastAsia="宋体" w:cs="黑体"/>
      <w:b/>
      <w:bCs/>
      <w:sz w:val="32"/>
      <w:szCs w:val="32"/>
    </w:rPr>
  </w:style>
  <w:style w:type="character" w:customStyle="1" w:styleId="103">
    <w:name w:val="批注主题 Char2"/>
    <w:link w:val="60"/>
    <w:semiHidden/>
    <w:qFormat/>
    <w:uiPriority w:val="99"/>
    <w:rPr>
      <w:b/>
      <w:bCs/>
    </w:rPr>
  </w:style>
  <w:style w:type="character" w:customStyle="1" w:styleId="104">
    <w:name w:val="正文首行缩进 Char1"/>
    <w:link w:val="61"/>
    <w:semiHidden/>
    <w:qFormat/>
    <w:uiPriority w:val="99"/>
  </w:style>
  <w:style w:type="character" w:customStyle="1" w:styleId="105">
    <w:name w:val="正文首行缩进 2 Char1"/>
    <w:link w:val="62"/>
    <w:semiHidden/>
    <w:qFormat/>
    <w:uiPriority w:val="99"/>
  </w:style>
  <w:style w:type="character" w:customStyle="1" w:styleId="106">
    <w:name w:val="列出段落 Char"/>
    <w:link w:val="107"/>
    <w:qFormat/>
    <w:uiPriority w:val="34"/>
    <w:rPr>
      <w:szCs w:val="24"/>
    </w:rPr>
  </w:style>
  <w:style w:type="paragraph" w:customStyle="1" w:styleId="107">
    <w:name w:val="列出段落1"/>
    <w:basedOn w:val="1"/>
    <w:link w:val="106"/>
    <w:qFormat/>
    <w:uiPriority w:val="34"/>
    <w:pPr>
      <w:ind w:firstLine="420" w:firstLineChars="200"/>
    </w:pPr>
    <w:rPr>
      <w:rFonts w:ascii="Times New Roman" w:hAnsi="Times New Roman" w:cs="Times New Roman"/>
      <w:kern w:val="0"/>
      <w:sz w:val="20"/>
      <w:szCs w:val="24"/>
    </w:rPr>
  </w:style>
  <w:style w:type="character" w:customStyle="1" w:styleId="108">
    <w:name w:val="tpc_content1"/>
    <w:qFormat/>
    <w:uiPriority w:val="0"/>
    <w:rPr>
      <w:sz w:val="20"/>
      <w:szCs w:val="20"/>
    </w:rPr>
  </w:style>
  <w:style w:type="character" w:customStyle="1" w:styleId="109">
    <w:name w:val="Ò³Ã¼ Char Char"/>
    <w:qFormat/>
    <w:uiPriority w:val="0"/>
    <w:rPr>
      <w:rFonts w:eastAsia="宋体"/>
      <w:kern w:val="2"/>
      <w:sz w:val="18"/>
      <w:szCs w:val="18"/>
      <w:lang w:val="en-US" w:eastAsia="zh-CN" w:bidi="ar-SA"/>
    </w:rPr>
  </w:style>
  <w:style w:type="character" w:customStyle="1" w:styleId="110">
    <w:name w:val="apple-style-span"/>
    <w:qFormat/>
    <w:uiPriority w:val="0"/>
  </w:style>
  <w:style w:type="character" w:customStyle="1" w:styleId="111">
    <w:name w:val="Char Char13"/>
    <w:qFormat/>
    <w:uiPriority w:val="0"/>
    <w:rPr>
      <w:rFonts w:eastAsia="宋体"/>
      <w:kern w:val="2"/>
      <w:sz w:val="18"/>
      <w:szCs w:val="18"/>
      <w:lang w:val="en-US" w:eastAsia="zh-CN" w:bidi="ar-SA"/>
    </w:rPr>
  </w:style>
  <w:style w:type="character" w:customStyle="1" w:styleId="112">
    <w:name w:val="称呼 Char"/>
    <w:qFormat/>
    <w:uiPriority w:val="0"/>
    <w:rPr>
      <w:rFonts w:eastAsia="宋体"/>
      <w:b/>
      <w:sz w:val="24"/>
    </w:rPr>
  </w:style>
  <w:style w:type="character" w:customStyle="1" w:styleId="113">
    <w:name w:val="脚注文本 Char"/>
    <w:qFormat/>
    <w:uiPriority w:val="0"/>
    <w:rPr>
      <w:rFonts w:eastAsia="宋体"/>
      <w:sz w:val="18"/>
      <w:szCs w:val="18"/>
    </w:rPr>
  </w:style>
  <w:style w:type="character" w:customStyle="1" w:styleId="114">
    <w:name w:val="标题 字符"/>
    <w:qFormat/>
    <w:uiPriority w:val="0"/>
    <w:rPr>
      <w:rFonts w:ascii="Cambria" w:hAnsi="Cambria"/>
      <w:b/>
      <w:bCs/>
      <w:kern w:val="2"/>
      <w:sz w:val="24"/>
      <w:szCs w:val="32"/>
    </w:rPr>
  </w:style>
  <w:style w:type="character" w:customStyle="1" w:styleId="115">
    <w:name w:val="标题 Char"/>
    <w:qFormat/>
    <w:uiPriority w:val="0"/>
    <w:rPr>
      <w:rFonts w:ascii="Arial" w:hAnsi="Arial"/>
      <w:b/>
      <w:sz w:val="32"/>
    </w:rPr>
  </w:style>
  <w:style w:type="character" w:customStyle="1" w:styleId="116">
    <w:name w:val="标题 Char1"/>
    <w:qFormat/>
    <w:uiPriority w:val="10"/>
    <w:rPr>
      <w:rFonts w:ascii="Cambria" w:hAnsi="Cambria" w:eastAsia="宋体" w:cs="Times New Roman"/>
      <w:b/>
      <w:bCs/>
      <w:sz w:val="32"/>
      <w:szCs w:val="32"/>
    </w:rPr>
  </w:style>
  <w:style w:type="character" w:customStyle="1" w:styleId="117">
    <w:name w:val="Char Char9"/>
    <w:qFormat/>
    <w:uiPriority w:val="0"/>
    <w:rPr>
      <w:rFonts w:ascii="Cambria" w:hAnsi="Cambria" w:eastAsia="宋体" w:cs="Times New Roman"/>
      <w:b/>
      <w:bCs/>
      <w:kern w:val="2"/>
      <w:sz w:val="28"/>
      <w:szCs w:val="28"/>
    </w:rPr>
  </w:style>
  <w:style w:type="character" w:customStyle="1" w:styleId="118">
    <w:name w:val="Char Char61"/>
    <w:qFormat/>
    <w:uiPriority w:val="0"/>
    <w:rPr>
      <w:rFonts w:ascii="宋体"/>
      <w:kern w:val="2"/>
      <w:sz w:val="18"/>
      <w:szCs w:val="18"/>
      <w:lang w:bidi="ar-SA"/>
    </w:rPr>
  </w:style>
  <w:style w:type="character" w:customStyle="1" w:styleId="119">
    <w:name w:val="正文文本 2 Char"/>
    <w:qFormat/>
    <w:uiPriority w:val="0"/>
    <w:rPr>
      <w:szCs w:val="24"/>
    </w:rPr>
  </w:style>
  <w:style w:type="character" w:customStyle="1" w:styleId="120">
    <w:name w:val="批注文字 Char"/>
    <w:qFormat/>
    <w:uiPriority w:val="0"/>
    <w:rPr>
      <w:kern w:val="2"/>
      <w:sz w:val="21"/>
      <w:szCs w:val="24"/>
    </w:rPr>
  </w:style>
  <w:style w:type="character" w:customStyle="1" w:styleId="121">
    <w:name w:val="文档结构图 Char1"/>
    <w:qFormat/>
    <w:uiPriority w:val="99"/>
    <w:rPr>
      <w:rFonts w:ascii="宋体" w:hAnsi="Times New Roman" w:eastAsia="宋体" w:cs="Times New Roman"/>
      <w:sz w:val="18"/>
      <w:szCs w:val="18"/>
    </w:rPr>
  </w:style>
  <w:style w:type="character" w:customStyle="1" w:styleId="122">
    <w:name w:val="纯文本 Char1"/>
    <w:qFormat/>
    <w:uiPriority w:val="99"/>
    <w:rPr>
      <w:rFonts w:ascii="宋体" w:hAnsi="Courier New" w:eastAsia="宋体" w:cs="Courier New"/>
      <w:szCs w:val="21"/>
    </w:rPr>
  </w:style>
  <w:style w:type="character" w:customStyle="1" w:styleId="123">
    <w:name w:val="样式 标题 2 + (中文) 宋体 五号 非加粗 黑色 Char Char"/>
    <w:qFormat/>
    <w:uiPriority w:val="0"/>
    <w:rPr>
      <w:rFonts w:eastAsia="黑体"/>
      <w:b/>
      <w:color w:val="000000"/>
      <w:kern w:val="2"/>
      <w:sz w:val="28"/>
      <w:lang w:val="en-US" w:eastAsia="zh-CN" w:bidi="ar-SA"/>
    </w:rPr>
  </w:style>
  <w:style w:type="character" w:customStyle="1" w:styleId="124">
    <w:name w:val="Char Char8"/>
    <w:qFormat/>
    <w:uiPriority w:val="0"/>
    <w:rPr>
      <w:rFonts w:eastAsia="宋体"/>
      <w:sz w:val="18"/>
      <w:lang w:val="en-US" w:eastAsia="zh-CN" w:bidi="ar-SA"/>
    </w:rPr>
  </w:style>
  <w:style w:type="character" w:customStyle="1" w:styleId="125">
    <w:name w:val="Char Char91"/>
    <w:qFormat/>
    <w:uiPriority w:val="0"/>
    <w:rPr>
      <w:rFonts w:ascii="Cambria" w:hAnsi="Cambria" w:eastAsia="宋体" w:cs="Times New Roman"/>
      <w:b/>
      <w:bCs/>
      <w:kern w:val="2"/>
      <w:sz w:val="28"/>
      <w:szCs w:val="28"/>
    </w:rPr>
  </w:style>
  <w:style w:type="character" w:customStyle="1" w:styleId="126">
    <w:name w:val="h3 Char1"/>
    <w:qFormat/>
    <w:uiPriority w:val="0"/>
    <w:rPr>
      <w:b/>
      <w:bCs/>
      <w:sz w:val="32"/>
      <w:szCs w:val="32"/>
    </w:rPr>
  </w:style>
  <w:style w:type="character" w:customStyle="1" w:styleId="127">
    <w:name w:val="批注主题 Char1"/>
    <w:qFormat/>
    <w:uiPriority w:val="99"/>
    <w:rPr>
      <w:b/>
      <w:bCs/>
      <w:kern w:val="2"/>
      <w:sz w:val="21"/>
      <w:szCs w:val="24"/>
    </w:rPr>
  </w:style>
  <w:style w:type="character" w:customStyle="1" w:styleId="128">
    <w:name w:val="font161"/>
    <w:qFormat/>
    <w:uiPriority w:val="0"/>
    <w:rPr>
      <w:b/>
      <w:bCs/>
      <w:sz w:val="32"/>
      <w:szCs w:val="32"/>
    </w:rPr>
  </w:style>
  <w:style w:type="character" w:customStyle="1" w:styleId="129">
    <w:name w:val="msoins"/>
    <w:qFormat/>
    <w:uiPriority w:val="0"/>
  </w:style>
  <w:style w:type="character" w:customStyle="1" w:styleId="130">
    <w:name w:val="Char Char41"/>
    <w:qFormat/>
    <w:uiPriority w:val="0"/>
    <w:rPr>
      <w:rFonts w:ascii="宋体" w:eastAsia="宋体"/>
      <w:b/>
      <w:bCs/>
      <w:kern w:val="2"/>
      <w:sz w:val="21"/>
      <w:szCs w:val="24"/>
      <w:lang w:val="en-US" w:eastAsia="zh-CN" w:bidi="ar-SA"/>
    </w:rPr>
  </w:style>
  <w:style w:type="character" w:customStyle="1" w:styleId="131">
    <w:name w:val="Char Char121"/>
    <w:qFormat/>
    <w:uiPriority w:val="0"/>
    <w:rPr>
      <w:rFonts w:ascii="Arial" w:hAnsi="Arial" w:eastAsia="黑体" w:cs="Times New Roman"/>
      <w:bCs/>
      <w:kern w:val="44"/>
      <w:sz w:val="30"/>
      <w:szCs w:val="30"/>
    </w:rPr>
  </w:style>
  <w:style w:type="character" w:customStyle="1" w:styleId="132">
    <w:name w:val="样式 标题 2 + (中文) 宋体 五号 Char Char"/>
    <w:link w:val="133"/>
    <w:qFormat/>
    <w:uiPriority w:val="0"/>
    <w:rPr>
      <w:color w:val="000000"/>
      <w:sz w:val="24"/>
    </w:rPr>
  </w:style>
  <w:style w:type="paragraph" w:customStyle="1" w:styleId="133">
    <w:name w:val="样式 标题 2 + (中文) 宋体 五号"/>
    <w:basedOn w:val="3"/>
    <w:link w:val="132"/>
    <w:qFormat/>
    <w:uiPriority w:val="0"/>
    <w:pPr>
      <w:adjustRightInd w:val="0"/>
      <w:snapToGrid w:val="0"/>
      <w:spacing w:before="0" w:after="0" w:line="240" w:lineRule="auto"/>
      <w:jc w:val="left"/>
    </w:pPr>
    <w:rPr>
      <w:rFonts w:ascii="Times New Roman" w:hAnsi="Times New Roman"/>
      <w:b w:val="0"/>
      <w:color w:val="000000"/>
      <w:sz w:val="24"/>
    </w:rPr>
  </w:style>
  <w:style w:type="character" w:customStyle="1" w:styleId="134">
    <w:name w:val="font21"/>
    <w:qFormat/>
    <w:uiPriority w:val="0"/>
    <w:rPr>
      <w:rFonts w:hint="eastAsia" w:ascii="宋体" w:hAnsi="宋体" w:eastAsia="宋体"/>
      <w:color w:val="000000"/>
      <w:sz w:val="24"/>
      <w:szCs w:val="24"/>
      <w:u w:val="none"/>
    </w:rPr>
  </w:style>
  <w:style w:type="character" w:customStyle="1" w:styleId="135">
    <w:name w:val="数字"/>
    <w:qFormat/>
    <w:uiPriority w:val="0"/>
    <w:rPr>
      <w:rFonts w:eastAsia="黑体"/>
      <w:b/>
      <w:sz w:val="21"/>
    </w:rPr>
  </w:style>
  <w:style w:type="character" w:customStyle="1" w:styleId="136">
    <w:name w:val="纯文本 Char"/>
    <w:qFormat/>
    <w:uiPriority w:val="0"/>
    <w:rPr>
      <w:rFonts w:ascii="宋体" w:hAnsi="Courier New" w:eastAsia="宋体"/>
    </w:rPr>
  </w:style>
  <w:style w:type="character" w:customStyle="1" w:styleId="137">
    <w:name w:val="脚注文本 Char1"/>
    <w:qFormat/>
    <w:uiPriority w:val="99"/>
    <w:rPr>
      <w:rFonts w:ascii="Times New Roman" w:hAnsi="Times New Roman" w:eastAsia="宋体" w:cs="Times New Roman"/>
      <w:sz w:val="18"/>
      <w:szCs w:val="18"/>
    </w:rPr>
  </w:style>
  <w:style w:type="character" w:customStyle="1" w:styleId="138">
    <w:name w:val="正文首行缩进 2 Char"/>
    <w:qFormat/>
    <w:uiPriority w:val="0"/>
  </w:style>
  <w:style w:type="character" w:customStyle="1" w:styleId="139">
    <w:name w:val="正文文本缩进 Char"/>
    <w:qFormat/>
    <w:uiPriority w:val="0"/>
    <w:rPr>
      <w:szCs w:val="24"/>
    </w:rPr>
  </w:style>
  <w:style w:type="character" w:customStyle="1" w:styleId="140">
    <w:name w:val="Char Char71"/>
    <w:qFormat/>
    <w:uiPriority w:val="0"/>
    <w:rPr>
      <w:rFonts w:eastAsia="宋体"/>
      <w:b/>
      <w:kern w:val="2"/>
      <w:sz w:val="32"/>
      <w:szCs w:val="24"/>
      <w:lang w:val="en-US" w:eastAsia="zh-CN" w:bidi="ar-SA"/>
    </w:rPr>
  </w:style>
  <w:style w:type="character" w:customStyle="1" w:styleId="141">
    <w:name w:val="手改 Char"/>
    <w:qFormat/>
    <w:uiPriority w:val="0"/>
    <w:rPr>
      <w:rFonts w:eastAsia="宋体"/>
      <w:kern w:val="2"/>
      <w:sz w:val="21"/>
      <w:szCs w:val="24"/>
      <w:lang w:val="en-US" w:eastAsia="zh-CN" w:bidi="ar-SA"/>
    </w:rPr>
  </w:style>
  <w:style w:type="character" w:customStyle="1" w:styleId="142">
    <w:name w:val="Char Char1"/>
    <w:qFormat/>
    <w:uiPriority w:val="0"/>
    <w:rPr>
      <w:rFonts w:eastAsia="宋体"/>
      <w:kern w:val="2"/>
      <w:sz w:val="18"/>
      <w:szCs w:val="18"/>
      <w:lang w:val="en-US" w:eastAsia="zh-CN" w:bidi="ar-SA"/>
    </w:rPr>
  </w:style>
  <w:style w:type="character" w:customStyle="1" w:styleId="143">
    <w:name w:val="s1"/>
    <w:qFormat/>
    <w:uiPriority w:val="0"/>
    <w:rPr>
      <w:sz w:val="18"/>
      <w:szCs w:val="18"/>
    </w:rPr>
  </w:style>
  <w:style w:type="character" w:customStyle="1" w:styleId="144">
    <w:name w:val="Char Char131"/>
    <w:qFormat/>
    <w:uiPriority w:val="0"/>
    <w:rPr>
      <w:rFonts w:eastAsia="宋体"/>
      <w:kern w:val="2"/>
      <w:sz w:val="18"/>
      <w:szCs w:val="18"/>
      <w:lang w:val="en-US" w:eastAsia="zh-CN" w:bidi="ar-SA"/>
    </w:rPr>
  </w:style>
  <w:style w:type="character" w:customStyle="1" w:styleId="145">
    <w:name w:val="Char Char12"/>
    <w:qFormat/>
    <w:uiPriority w:val="0"/>
    <w:rPr>
      <w:rFonts w:ascii="Arial" w:hAnsi="Arial" w:eastAsia="黑体" w:cs="Times New Roman"/>
      <w:bCs/>
      <w:kern w:val="44"/>
      <w:sz w:val="30"/>
      <w:szCs w:val="30"/>
    </w:rPr>
  </w:style>
  <w:style w:type="character" w:customStyle="1" w:styleId="146">
    <w:name w:val="副标题 Char"/>
    <w:qFormat/>
    <w:uiPriority w:val="0"/>
    <w:rPr>
      <w:rFonts w:ascii="Cambria" w:hAnsi="Cambria"/>
      <w:b/>
      <w:bCs/>
      <w:kern w:val="28"/>
      <w:sz w:val="32"/>
      <w:szCs w:val="32"/>
    </w:rPr>
  </w:style>
  <w:style w:type="character" w:customStyle="1" w:styleId="147">
    <w:name w:val="正文文本缩进 2 Char"/>
    <w:qFormat/>
    <w:uiPriority w:val="0"/>
    <w:rPr>
      <w:rFonts w:ascii="宋体" w:hAnsi="宋体"/>
      <w:sz w:val="27"/>
      <w:szCs w:val="27"/>
    </w:rPr>
  </w:style>
  <w:style w:type="character" w:customStyle="1" w:styleId="148">
    <w:name w:val="Char Char101"/>
    <w:qFormat/>
    <w:uiPriority w:val="0"/>
    <w:rPr>
      <w:b/>
      <w:bCs/>
      <w:sz w:val="32"/>
      <w:szCs w:val="32"/>
    </w:rPr>
  </w:style>
  <w:style w:type="character" w:customStyle="1" w:styleId="149">
    <w:name w:val="批注主题 Char"/>
    <w:qFormat/>
    <w:uiPriority w:val="0"/>
    <w:rPr>
      <w:rFonts w:ascii="宋体" w:eastAsia="宋体"/>
      <w:b/>
      <w:bCs/>
      <w:szCs w:val="24"/>
    </w:rPr>
  </w:style>
  <w:style w:type="character" w:customStyle="1" w:styleId="150">
    <w:name w:val="尾注文本 Char"/>
    <w:qFormat/>
    <w:uiPriority w:val="0"/>
    <w:rPr>
      <w:szCs w:val="24"/>
    </w:rPr>
  </w:style>
  <w:style w:type="character" w:customStyle="1" w:styleId="151">
    <w:name w:val="样式 (中文) 黑体 三号 加粗"/>
    <w:qFormat/>
    <w:uiPriority w:val="0"/>
    <w:rPr>
      <w:rFonts w:eastAsia="黑体"/>
      <w:b/>
      <w:bCs/>
      <w:sz w:val="44"/>
    </w:rPr>
  </w:style>
  <w:style w:type="character" w:customStyle="1" w:styleId="152">
    <w:name w:val="段 Char Char"/>
    <w:link w:val="153"/>
    <w:qFormat/>
    <w:uiPriority w:val="0"/>
    <w:rPr>
      <w:rFonts w:ascii="宋体"/>
      <w:sz w:val="24"/>
      <w:lang w:val="en-US" w:eastAsia="zh-CN" w:bidi="ar-SA"/>
    </w:rPr>
  </w:style>
  <w:style w:type="paragraph" w:customStyle="1" w:styleId="153">
    <w:name w:val="段"/>
    <w:link w:val="152"/>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sz w:val="24"/>
      <w:lang w:val="en-US" w:eastAsia="zh-CN" w:bidi="ar-SA"/>
    </w:rPr>
  </w:style>
  <w:style w:type="character" w:customStyle="1" w:styleId="154">
    <w:name w:val="H2 Char"/>
    <w:qFormat/>
    <w:uiPriority w:val="0"/>
    <w:rPr>
      <w:rFonts w:ascii="Cambria" w:hAnsi="Cambria" w:eastAsia="宋体" w:cs="Times New Roman"/>
      <w:b/>
      <w:bCs/>
      <w:sz w:val="32"/>
      <w:szCs w:val="32"/>
    </w:rPr>
  </w:style>
  <w:style w:type="character" w:customStyle="1" w:styleId="155">
    <w:name w:val="Char Char4"/>
    <w:qFormat/>
    <w:uiPriority w:val="0"/>
    <w:rPr>
      <w:rFonts w:ascii="宋体" w:eastAsia="宋体"/>
      <w:b/>
      <w:bCs/>
      <w:kern w:val="2"/>
      <w:sz w:val="21"/>
      <w:szCs w:val="24"/>
      <w:lang w:val="en-US" w:eastAsia="zh-CN" w:bidi="ar-SA"/>
    </w:rPr>
  </w:style>
  <w:style w:type="character" w:customStyle="1" w:styleId="156">
    <w:name w:val="HTML 预设格式 Char"/>
    <w:qFormat/>
    <w:uiPriority w:val="0"/>
    <w:rPr>
      <w:rFonts w:ascii="黑体" w:hAnsi="Courier New" w:eastAsia="黑体" w:cs="Courier New"/>
    </w:rPr>
  </w:style>
  <w:style w:type="character" w:customStyle="1" w:styleId="157">
    <w:name w:val="纯文本 Char Char"/>
    <w:qFormat/>
    <w:uiPriority w:val="0"/>
    <w:rPr>
      <w:rFonts w:ascii="宋体" w:hAnsi="Courier New" w:eastAsia="宋体"/>
      <w:kern w:val="2"/>
      <w:sz w:val="21"/>
      <w:lang w:val="en-US" w:eastAsia="zh-CN" w:bidi="ar-SA"/>
    </w:rPr>
  </w:style>
  <w:style w:type="character" w:customStyle="1" w:styleId="158">
    <w:name w:val="font11"/>
    <w:qFormat/>
    <w:uiPriority w:val="0"/>
    <w:rPr>
      <w:rFonts w:hint="default" w:ascii="Times New Roman" w:hAnsi="Times New Roman" w:cs="Times New Roman"/>
      <w:color w:val="000000"/>
      <w:sz w:val="24"/>
      <w:szCs w:val="24"/>
      <w:u w:val="none"/>
    </w:rPr>
  </w:style>
  <w:style w:type="character" w:customStyle="1" w:styleId="159">
    <w:name w:val="称呼 Char1"/>
    <w:qFormat/>
    <w:uiPriority w:val="99"/>
    <w:rPr>
      <w:rFonts w:ascii="Times New Roman" w:hAnsi="Times New Roman" w:eastAsia="宋体" w:cs="Times New Roman"/>
      <w:szCs w:val="24"/>
    </w:rPr>
  </w:style>
  <w:style w:type="character" w:customStyle="1" w:styleId="160">
    <w:name w:val="Para head"/>
    <w:qFormat/>
    <w:uiPriority w:val="0"/>
    <w:rPr>
      <w:sz w:val="20"/>
    </w:rPr>
  </w:style>
  <w:style w:type="character" w:customStyle="1" w:styleId="161">
    <w:name w:val="style11"/>
    <w:qFormat/>
    <w:uiPriority w:val="0"/>
    <w:rPr>
      <w:b/>
      <w:bCs/>
      <w:color w:val="000000"/>
      <w:sz w:val="24"/>
      <w:szCs w:val="24"/>
    </w:rPr>
  </w:style>
  <w:style w:type="character" w:customStyle="1" w:styleId="162">
    <w:name w:val="123YJ Char Char"/>
    <w:qFormat/>
    <w:uiPriority w:val="0"/>
    <w:rPr>
      <w:rFonts w:eastAsia="宋体"/>
      <w:kern w:val="2"/>
      <w:sz w:val="18"/>
      <w:szCs w:val="18"/>
      <w:lang w:val="en-US" w:eastAsia="zh-CN" w:bidi="ar-SA"/>
    </w:rPr>
  </w:style>
  <w:style w:type="character" w:customStyle="1" w:styleId="163">
    <w:name w:val="Char Char11"/>
    <w:qFormat/>
    <w:uiPriority w:val="0"/>
    <w:rPr>
      <w:rFonts w:ascii="Cambria" w:hAnsi="Cambria" w:eastAsia="宋体" w:cs="Times New Roman"/>
      <w:b/>
      <w:bCs/>
      <w:sz w:val="32"/>
      <w:szCs w:val="32"/>
    </w:rPr>
  </w:style>
  <w:style w:type="character" w:customStyle="1" w:styleId="164">
    <w:name w:val="unnamed11"/>
    <w:qFormat/>
    <w:uiPriority w:val="0"/>
    <w:rPr>
      <w:sz w:val="18"/>
      <w:szCs w:val="18"/>
      <w:u w:val="none"/>
    </w:rPr>
  </w:style>
  <w:style w:type="character" w:customStyle="1" w:styleId="165">
    <w:name w:val="日期 Char"/>
    <w:qFormat/>
    <w:uiPriority w:val="0"/>
    <w:rPr>
      <w:sz w:val="24"/>
    </w:rPr>
  </w:style>
  <w:style w:type="character" w:customStyle="1" w:styleId="166">
    <w:name w:val="Char Char111"/>
    <w:qFormat/>
    <w:uiPriority w:val="0"/>
    <w:rPr>
      <w:rFonts w:ascii="Cambria" w:hAnsi="Cambria" w:eastAsia="宋体" w:cs="Times New Roman"/>
      <w:b/>
      <w:bCs/>
      <w:sz w:val="32"/>
      <w:szCs w:val="32"/>
    </w:rPr>
  </w:style>
  <w:style w:type="character" w:customStyle="1" w:styleId="167">
    <w:name w:val="正文文本 3 Char"/>
    <w:qFormat/>
    <w:uiPriority w:val="0"/>
    <w:rPr>
      <w:rFonts w:ascii="宋体"/>
      <w:sz w:val="24"/>
    </w:rPr>
  </w:style>
  <w:style w:type="character" w:customStyle="1" w:styleId="168">
    <w:name w:val="正文文本 Char1"/>
    <w:semiHidden/>
    <w:qFormat/>
    <w:uiPriority w:val="99"/>
    <w:rPr>
      <w:rFonts w:ascii="Times New Roman" w:hAnsi="Times New Roman" w:eastAsia="宋体" w:cs="Times New Roman"/>
      <w:szCs w:val="24"/>
    </w:rPr>
  </w:style>
  <w:style w:type="character" w:customStyle="1" w:styleId="169">
    <w:name w:val="textcontents"/>
    <w:qFormat/>
    <w:uiPriority w:val="0"/>
  </w:style>
  <w:style w:type="character" w:customStyle="1" w:styleId="170">
    <w:name w:val="Char Char"/>
    <w:qFormat/>
    <w:uiPriority w:val="0"/>
    <w:rPr>
      <w:rFonts w:eastAsia="宋体"/>
      <w:kern w:val="2"/>
      <w:sz w:val="18"/>
      <w:szCs w:val="18"/>
      <w:lang w:val="en-US" w:eastAsia="zh-CN" w:bidi="ar-SA"/>
    </w:rPr>
  </w:style>
  <w:style w:type="character" w:customStyle="1" w:styleId="171">
    <w:name w:val="Char Char7"/>
    <w:qFormat/>
    <w:uiPriority w:val="0"/>
    <w:rPr>
      <w:rFonts w:eastAsia="宋体"/>
      <w:b/>
      <w:kern w:val="2"/>
      <w:sz w:val="32"/>
      <w:szCs w:val="24"/>
      <w:lang w:val="en-US" w:eastAsia="zh-CN" w:bidi="ar-SA"/>
    </w:rPr>
  </w:style>
  <w:style w:type="character" w:customStyle="1" w:styleId="172">
    <w:name w:val="Char Char5"/>
    <w:link w:val="173"/>
    <w:qFormat/>
    <w:uiPriority w:val="0"/>
    <w:rPr>
      <w:szCs w:val="24"/>
    </w:rPr>
  </w:style>
  <w:style w:type="paragraph" w:customStyle="1" w:styleId="173">
    <w:name w:val="Char"/>
    <w:basedOn w:val="1"/>
    <w:link w:val="172"/>
    <w:qFormat/>
    <w:uiPriority w:val="0"/>
    <w:rPr>
      <w:rFonts w:ascii="Times New Roman" w:hAnsi="Times New Roman" w:cs="Times New Roman"/>
      <w:kern w:val="0"/>
      <w:sz w:val="20"/>
      <w:szCs w:val="24"/>
    </w:rPr>
  </w:style>
  <w:style w:type="character" w:customStyle="1" w:styleId="174">
    <w:name w:val="正文文本缩进 3 Char"/>
    <w:qFormat/>
    <w:uiPriority w:val="0"/>
    <w:rPr>
      <w:sz w:val="16"/>
      <w:szCs w:val="16"/>
    </w:rPr>
  </w:style>
  <w:style w:type="character" w:customStyle="1" w:styleId="175">
    <w:name w:val="my正文 Char"/>
    <w:link w:val="176"/>
    <w:qFormat/>
    <w:uiPriority w:val="0"/>
    <w:rPr>
      <w:sz w:val="28"/>
      <w:szCs w:val="24"/>
    </w:rPr>
  </w:style>
  <w:style w:type="paragraph" w:customStyle="1" w:styleId="176">
    <w:name w:val="my正文"/>
    <w:basedOn w:val="1"/>
    <w:link w:val="175"/>
    <w:qFormat/>
    <w:uiPriority w:val="0"/>
    <w:pPr>
      <w:spacing w:line="360" w:lineRule="auto"/>
      <w:ind w:firstLine="200" w:firstLineChars="200"/>
    </w:pPr>
    <w:rPr>
      <w:rFonts w:ascii="Times New Roman" w:hAnsi="Times New Roman" w:cs="Times New Roman"/>
      <w:kern w:val="0"/>
      <w:sz w:val="28"/>
      <w:szCs w:val="24"/>
    </w:rPr>
  </w:style>
  <w:style w:type="character" w:customStyle="1" w:styleId="177">
    <w:name w:val="页眉 Char"/>
    <w:qFormat/>
    <w:uiPriority w:val="99"/>
    <w:rPr>
      <w:sz w:val="18"/>
    </w:rPr>
  </w:style>
  <w:style w:type="character" w:customStyle="1" w:styleId="178">
    <w:name w:val="样式 正文首行缩进 + 首行缩进:  1 字符 Char"/>
    <w:link w:val="179"/>
    <w:qFormat/>
    <w:uiPriority w:val="0"/>
    <w:rPr>
      <w:rFonts w:cs="宋体"/>
      <w:sz w:val="24"/>
    </w:rPr>
  </w:style>
  <w:style w:type="paragraph" w:customStyle="1" w:styleId="179">
    <w:name w:val="样式 正文首行缩进 + 首行缩进:  1 字符"/>
    <w:basedOn w:val="1"/>
    <w:next w:val="1"/>
    <w:link w:val="178"/>
    <w:qFormat/>
    <w:uiPriority w:val="0"/>
    <w:pPr>
      <w:adjustRightInd w:val="0"/>
      <w:spacing w:line="360" w:lineRule="auto"/>
      <w:ind w:firstLine="100" w:firstLineChars="200"/>
    </w:pPr>
    <w:rPr>
      <w:rFonts w:ascii="Times New Roman" w:hAnsi="Times New Roman" w:cs="Times New Roman"/>
      <w:kern w:val="0"/>
      <w:sz w:val="24"/>
      <w:szCs w:val="20"/>
    </w:rPr>
  </w:style>
  <w:style w:type="character" w:customStyle="1" w:styleId="180">
    <w:name w:val="页脚 Char1"/>
    <w:semiHidden/>
    <w:qFormat/>
    <w:uiPriority w:val="99"/>
    <w:rPr>
      <w:rFonts w:ascii="Times New Roman" w:hAnsi="Times New Roman" w:eastAsia="宋体" w:cs="Times New Roman"/>
      <w:sz w:val="18"/>
      <w:szCs w:val="18"/>
    </w:rPr>
  </w:style>
  <w:style w:type="character" w:customStyle="1" w:styleId="181">
    <w:name w:val="正文首行缩进 Char"/>
    <w:qFormat/>
    <w:uiPriority w:val="0"/>
    <w:rPr>
      <w:rFonts w:ascii="Times New Roman" w:hAnsi="Times New Roman" w:eastAsia="宋体" w:cs="Times New Roman"/>
      <w:szCs w:val="24"/>
    </w:rPr>
  </w:style>
  <w:style w:type="character" w:customStyle="1" w:styleId="182">
    <w:name w:val="NormalCharacter"/>
    <w:qFormat/>
    <w:uiPriority w:val="0"/>
  </w:style>
  <w:style w:type="character" w:customStyle="1" w:styleId="183">
    <w:name w:val="批注框文本 Char"/>
    <w:qFormat/>
    <w:uiPriority w:val="0"/>
    <w:rPr>
      <w:sz w:val="18"/>
      <w:szCs w:val="18"/>
    </w:rPr>
  </w:style>
  <w:style w:type="character" w:customStyle="1" w:styleId="184">
    <w:name w:val="Char Char51"/>
    <w:link w:val="185"/>
    <w:qFormat/>
    <w:uiPriority w:val="0"/>
    <w:rPr>
      <w:rFonts w:eastAsia="宋体"/>
      <w:szCs w:val="24"/>
    </w:rPr>
  </w:style>
  <w:style w:type="paragraph" w:customStyle="1" w:styleId="185">
    <w:name w:val="Char111"/>
    <w:basedOn w:val="1"/>
    <w:link w:val="184"/>
    <w:qFormat/>
    <w:uiPriority w:val="0"/>
    <w:rPr>
      <w:rFonts w:ascii="Times New Roman" w:hAnsi="Times New Roman" w:cs="Times New Roman"/>
      <w:kern w:val="0"/>
      <w:sz w:val="20"/>
      <w:szCs w:val="24"/>
    </w:rPr>
  </w:style>
  <w:style w:type="character" w:customStyle="1" w:styleId="186">
    <w:name w:val="Char Char10"/>
    <w:qFormat/>
    <w:uiPriority w:val="0"/>
    <w:rPr>
      <w:rFonts w:eastAsia="宋体"/>
      <w:kern w:val="2"/>
      <w:sz w:val="18"/>
      <w:szCs w:val="18"/>
      <w:lang w:val="en-US" w:eastAsia="zh-CN" w:bidi="ar-SA"/>
    </w:rPr>
  </w:style>
  <w:style w:type="character" w:customStyle="1" w:styleId="187">
    <w:name w:val="标题 2 Char Char"/>
    <w:qFormat/>
    <w:uiPriority w:val="0"/>
    <w:rPr>
      <w:rFonts w:eastAsia="黑体"/>
      <w:b/>
      <w:kern w:val="2"/>
      <w:sz w:val="28"/>
      <w:lang w:val="en-US" w:eastAsia="zh-CN" w:bidi="ar-SA"/>
    </w:rPr>
  </w:style>
  <w:style w:type="character" w:customStyle="1" w:styleId="188">
    <w:name w:val="样式 标题 2 + (中文) 宋体 五号 非加粗 Char Char Char"/>
    <w:qFormat/>
    <w:uiPriority w:val="0"/>
    <w:rPr>
      <w:rFonts w:ascii="宋体" w:hAnsi="宋体" w:cs="Arial"/>
      <w:kern w:val="2"/>
      <w:sz w:val="28"/>
      <w:szCs w:val="24"/>
      <w:lang w:val="en-US" w:eastAsia="zh-CN"/>
    </w:rPr>
  </w:style>
  <w:style w:type="character" w:customStyle="1" w:styleId="189">
    <w:name w:val="Char Char81"/>
    <w:qFormat/>
    <w:uiPriority w:val="0"/>
    <w:rPr>
      <w:b/>
      <w:bCs/>
      <w:kern w:val="2"/>
      <w:sz w:val="28"/>
      <w:szCs w:val="28"/>
    </w:rPr>
  </w:style>
  <w:style w:type="character" w:customStyle="1" w:styleId="190">
    <w:name w:val="正文文本 Char"/>
    <w:qFormat/>
    <w:uiPriority w:val="0"/>
    <w:rPr>
      <w:rFonts w:eastAsia="宋体"/>
      <w:szCs w:val="24"/>
    </w:rPr>
  </w:style>
  <w:style w:type="character" w:customStyle="1" w:styleId="191">
    <w:name w:val="标题 3 Char1"/>
    <w:qFormat/>
    <w:uiPriority w:val="0"/>
    <w:rPr>
      <w:rFonts w:ascii="宋体" w:hAnsi="宋体" w:cs="宋体"/>
      <w:b/>
      <w:bCs/>
      <w:sz w:val="24"/>
      <w:szCs w:val="24"/>
    </w:rPr>
  </w:style>
  <w:style w:type="character" w:customStyle="1" w:styleId="192">
    <w:name w:val="Char Char6"/>
    <w:qFormat/>
    <w:uiPriority w:val="0"/>
    <w:rPr>
      <w:rFonts w:ascii="宋体"/>
      <w:kern w:val="2"/>
      <w:sz w:val="18"/>
      <w:szCs w:val="18"/>
      <w:lang w:bidi="ar-SA"/>
    </w:rPr>
  </w:style>
  <w:style w:type="character" w:customStyle="1" w:styleId="193">
    <w:name w:val="Char Char15"/>
    <w:qFormat/>
    <w:uiPriority w:val="0"/>
    <w:rPr>
      <w:rFonts w:ascii="宋体"/>
      <w:kern w:val="2"/>
      <w:sz w:val="18"/>
      <w:szCs w:val="18"/>
    </w:rPr>
  </w:style>
  <w:style w:type="character" w:customStyle="1" w:styleId="194">
    <w:name w:val="blue1"/>
    <w:qFormat/>
    <w:uiPriority w:val="0"/>
  </w:style>
  <w:style w:type="character" w:customStyle="1" w:styleId="195">
    <w:name w:val="font01"/>
    <w:qFormat/>
    <w:uiPriority w:val="0"/>
    <w:rPr>
      <w:rFonts w:hint="eastAsia" w:ascii="宋体" w:hAnsi="宋体" w:eastAsia="宋体"/>
      <w:color w:val="000000"/>
      <w:sz w:val="24"/>
      <w:szCs w:val="24"/>
      <w:u w:val="none"/>
    </w:rPr>
  </w:style>
  <w:style w:type="paragraph" w:customStyle="1" w:styleId="19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197">
    <w:name w:val="表格2"/>
    <w:basedOn w:val="1"/>
    <w:qFormat/>
    <w:uiPriority w:val="0"/>
    <w:pPr>
      <w:adjustRightInd w:val="0"/>
      <w:spacing w:line="420" w:lineRule="atLeast"/>
      <w:ind w:left="284" w:firstLine="454"/>
      <w:textAlignment w:val="baseline"/>
    </w:pPr>
    <w:rPr>
      <w:rFonts w:ascii="Times New Roman" w:hAnsi="Times New Roman" w:cs="Times New Roman"/>
      <w:kern w:val="0"/>
      <w:szCs w:val="20"/>
    </w:rPr>
  </w:style>
  <w:style w:type="paragraph" w:customStyle="1" w:styleId="198">
    <w:name w:val="格式1"/>
    <w:basedOn w:val="1"/>
    <w:qFormat/>
    <w:uiPriority w:val="0"/>
    <w:pPr>
      <w:spacing w:beforeLines="50"/>
      <w:jc w:val="center"/>
    </w:pPr>
    <w:rPr>
      <w:rFonts w:ascii="黑体" w:hAnsi="宋体" w:eastAsia="黑体" w:cs="Times New Roman"/>
      <w:b/>
      <w:bCs/>
      <w:color w:val="000000"/>
      <w:sz w:val="32"/>
      <w:szCs w:val="20"/>
    </w:rPr>
  </w:style>
  <w:style w:type="paragraph" w:customStyle="1" w:styleId="199">
    <w:name w:val="样式 标题 2 +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00">
    <w:name w:val="Char Char Char Char Char Char1 Char Char Char Char1"/>
    <w:basedOn w:val="1"/>
    <w:qFormat/>
    <w:uiPriority w:val="0"/>
    <w:rPr>
      <w:rFonts w:ascii="仿宋_GB2312" w:hAnsi="Times New Roman" w:eastAsia="仿宋_GB2312" w:cs="Times New Roman"/>
      <w:b/>
      <w:sz w:val="32"/>
      <w:szCs w:val="32"/>
    </w:rPr>
  </w:style>
  <w:style w:type="paragraph" w:customStyle="1" w:styleId="20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24"/>
      <w:szCs w:val="24"/>
    </w:rPr>
  </w:style>
  <w:style w:type="paragraph" w:customStyle="1" w:styleId="202">
    <w:name w:val="Char1"/>
    <w:basedOn w:val="1"/>
    <w:qFormat/>
    <w:uiPriority w:val="0"/>
    <w:rPr>
      <w:rFonts w:ascii="Times New Roman" w:hAnsi="Times New Roman" w:cs="Times New Roman"/>
      <w:szCs w:val="24"/>
    </w:rPr>
  </w:style>
  <w:style w:type="paragraph" w:customStyle="1" w:styleId="203">
    <w:name w:val="修订1"/>
    <w:qFormat/>
    <w:uiPriority w:val="0"/>
    <w:rPr>
      <w:rFonts w:ascii="Times New Roman" w:hAnsi="Times New Roman" w:eastAsia="宋体" w:cs="Times New Roman"/>
      <w:kern w:val="2"/>
      <w:sz w:val="21"/>
      <w:lang w:val="en-US" w:eastAsia="zh-CN" w:bidi="ar-SA"/>
    </w:rPr>
  </w:style>
  <w:style w:type="paragraph" w:customStyle="1" w:styleId="204">
    <w:name w:val="三级条标题"/>
    <w:basedOn w:val="205"/>
    <w:next w:val="153"/>
    <w:qFormat/>
    <w:uiPriority w:val="0"/>
    <w:pPr>
      <w:tabs>
        <w:tab w:val="left" w:pos="360"/>
        <w:tab w:val="left" w:pos="570"/>
        <w:tab w:val="left" w:pos="840"/>
      </w:tabs>
      <w:ind w:left="840" w:hanging="420"/>
      <w:outlineLvl w:val="4"/>
    </w:pPr>
  </w:style>
  <w:style w:type="paragraph" w:customStyle="1" w:styleId="205">
    <w:name w:val="二级条标题"/>
    <w:basedOn w:val="206"/>
    <w:next w:val="153"/>
    <w:qFormat/>
    <w:uiPriority w:val="0"/>
    <w:pPr>
      <w:tabs>
        <w:tab w:val="left" w:pos="360"/>
        <w:tab w:val="left" w:pos="570"/>
      </w:tabs>
      <w:spacing w:beforeLines="50"/>
      <w:outlineLvl w:val="3"/>
    </w:pPr>
  </w:style>
  <w:style w:type="paragraph" w:customStyle="1" w:styleId="206">
    <w:name w:val="一级条标题"/>
    <w:basedOn w:val="207"/>
    <w:next w:val="153"/>
    <w:qFormat/>
    <w:uiPriority w:val="0"/>
    <w:pPr>
      <w:tabs>
        <w:tab w:val="left" w:pos="360"/>
        <w:tab w:val="left" w:pos="570"/>
      </w:tabs>
      <w:spacing w:beforeLines="0" w:afterLines="0"/>
      <w:ind w:left="570" w:hanging="570"/>
      <w:outlineLvl w:val="2"/>
    </w:pPr>
    <w:rPr>
      <w:sz w:val="24"/>
    </w:rPr>
  </w:style>
  <w:style w:type="paragraph" w:customStyle="1" w:styleId="207">
    <w:name w:val="章标题"/>
    <w:next w:val="153"/>
    <w:qFormat/>
    <w:uiPriority w:val="0"/>
    <w:pPr>
      <w:widowControl w:val="0"/>
      <w:adjustRightInd w:val="0"/>
      <w:spacing w:beforeLines="50" w:afterLines="50" w:line="360" w:lineRule="atLeast"/>
      <w:jc w:val="both"/>
      <w:textAlignment w:val="baseline"/>
      <w:outlineLvl w:val="1"/>
    </w:pPr>
    <w:rPr>
      <w:rFonts w:ascii="黑体" w:hAnsi="Times New Roman" w:eastAsia="黑体" w:cs="Times New Roman"/>
      <w:sz w:val="21"/>
      <w:lang w:val="en-US" w:eastAsia="zh-CN" w:bidi="ar-SA"/>
    </w:rPr>
  </w:style>
  <w:style w:type="paragraph" w:customStyle="1" w:styleId="208">
    <w:name w:val="样式 标题 2 + (中文) 宋体 五号 非加粗 黑色"/>
    <w:basedOn w:val="3"/>
    <w:qFormat/>
    <w:uiPriority w:val="0"/>
    <w:pPr>
      <w:spacing w:before="0" w:after="0" w:line="400" w:lineRule="exact"/>
    </w:pPr>
    <w:rPr>
      <w:rFonts w:ascii="Times New Roman" w:hAnsi="Times New Roman"/>
      <w:i/>
      <w:iCs/>
      <w:color w:val="000000"/>
      <w:sz w:val="28"/>
      <w:szCs w:val="24"/>
    </w:rPr>
  </w:style>
  <w:style w:type="paragraph" w:customStyle="1" w:styleId="209">
    <w:name w:val="3"/>
    <w:basedOn w:val="1"/>
    <w:qFormat/>
    <w:uiPriority w:val="0"/>
    <w:pPr>
      <w:spacing w:before="100" w:line="360" w:lineRule="auto"/>
      <w:ind w:firstLine="454"/>
    </w:pPr>
    <w:rPr>
      <w:rFonts w:ascii="宋体" w:hAnsi="Times New Roman" w:cs="Times New Roman"/>
      <w:b/>
      <w:szCs w:val="20"/>
    </w:rPr>
  </w:style>
  <w:style w:type="paragraph" w:customStyle="1" w:styleId="210">
    <w:name w:val="正文文本 31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11">
    <w:name w:val="MH-Spec TXT"/>
    <w:basedOn w:val="1"/>
    <w:qFormat/>
    <w:uiPriority w:val="0"/>
    <w:pPr>
      <w:spacing w:before="240"/>
      <w:jc w:val="left"/>
    </w:pPr>
    <w:rPr>
      <w:rFonts w:cs="Times New Roman"/>
      <w:kern w:val="0"/>
      <w:sz w:val="22"/>
      <w:szCs w:val="20"/>
    </w:rPr>
  </w:style>
  <w:style w:type="paragraph" w:customStyle="1" w:styleId="212">
    <w:name w:val="..1"/>
    <w:basedOn w:val="213"/>
    <w:next w:val="213"/>
    <w:qFormat/>
    <w:uiPriority w:val="0"/>
    <w:rPr>
      <w:rFonts w:ascii="新宋体" w:eastAsia="新宋体" w:cs="Times New Roman"/>
      <w:color w:val="auto"/>
    </w:rPr>
  </w:style>
  <w:style w:type="paragraph" w:customStyle="1" w:styleId="21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14">
    <w:name w:val="样式 目录 1 + 段前: 0.4 行 段后: 0.4 行"/>
    <w:basedOn w:val="41"/>
    <w:qFormat/>
    <w:uiPriority w:val="0"/>
    <w:pPr>
      <w:tabs>
        <w:tab w:val="clear" w:pos="9004"/>
      </w:tabs>
      <w:adjustRightInd w:val="0"/>
      <w:snapToGrid w:val="0"/>
      <w:spacing w:beforeLines="100" w:afterLines="40" w:line="240" w:lineRule="auto"/>
      <w:jc w:val="both"/>
    </w:pPr>
    <w:rPr>
      <w:rFonts w:eastAsia="楷体_GB2312" w:cs="宋体"/>
      <w:caps w:val="0"/>
      <w:sz w:val="24"/>
    </w:rPr>
  </w:style>
  <w:style w:type="paragraph" w:customStyle="1" w:styleId="215">
    <w:name w:val="样式 首行缩进:  2 字符 段前: 0.5 行 段后: 0.5 行"/>
    <w:basedOn w:val="1"/>
    <w:next w:val="1"/>
    <w:qFormat/>
    <w:uiPriority w:val="0"/>
    <w:pPr>
      <w:adjustRightInd w:val="0"/>
      <w:snapToGrid w:val="0"/>
      <w:spacing w:before="156" w:line="312" w:lineRule="auto"/>
      <w:ind w:firstLine="480" w:firstLineChars="200"/>
    </w:pPr>
    <w:rPr>
      <w:rFonts w:ascii="Times New Roman" w:hAnsi="Times New Roman" w:eastAsia="楷体_GB2312" w:cs="Times New Roman"/>
      <w:sz w:val="24"/>
      <w:szCs w:val="20"/>
    </w:rPr>
  </w:style>
  <w:style w:type="paragraph" w:customStyle="1" w:styleId="216">
    <w:name w:val="表内文字"/>
    <w:basedOn w:val="1"/>
    <w:qFormat/>
    <w:uiPriority w:val="0"/>
    <w:pPr>
      <w:snapToGrid w:val="0"/>
    </w:pPr>
    <w:rPr>
      <w:rFonts w:ascii="Tahoma" w:hAnsi="Tahoma" w:cs="Tahoma"/>
      <w:szCs w:val="21"/>
    </w:rPr>
  </w:style>
  <w:style w:type="paragraph" w:customStyle="1" w:styleId="217">
    <w:name w:val="样式 标题 1 + 黑体 三号 非加粗 居中 段前: 6 磅 段后: 6 磅 行距: 固定值 20 磅"/>
    <w:basedOn w:val="2"/>
    <w:qFormat/>
    <w:uiPriority w:val="0"/>
    <w:pPr>
      <w:spacing w:before="120" w:after="120" w:line="400" w:lineRule="exact"/>
    </w:pPr>
    <w:rPr>
      <w:rFonts w:ascii="黑体" w:hAnsi="黑体" w:eastAsia="黑体" w:cs="宋体"/>
      <w:b w:val="0"/>
      <w:sz w:val="32"/>
    </w:rPr>
  </w:style>
  <w:style w:type="paragraph" w:customStyle="1" w:styleId="218">
    <w:name w:val="def正文"/>
    <w:basedOn w:val="24"/>
    <w:qFormat/>
    <w:uiPriority w:val="0"/>
    <w:pPr>
      <w:widowControl/>
      <w:spacing w:after="0" w:line="360" w:lineRule="auto"/>
      <w:jc w:val="center"/>
    </w:pPr>
    <w:rPr>
      <w:kern w:val="0"/>
      <w:sz w:val="24"/>
    </w:rPr>
  </w:style>
  <w:style w:type="paragraph" w:customStyle="1" w:styleId="219">
    <w:name w:val="blockquote"/>
    <w:basedOn w:val="1"/>
    <w:qFormat/>
    <w:uiPriority w:val="0"/>
    <w:pPr>
      <w:widowControl/>
      <w:spacing w:before="100" w:beforeAutospacing="1" w:after="100" w:afterAutospacing="1"/>
      <w:jc w:val="left"/>
    </w:pPr>
    <w:rPr>
      <w:rFonts w:ascii="宋体" w:hAnsi="宋体" w:cs="Times New Roman"/>
      <w:color w:val="000000"/>
      <w:kern w:val="0"/>
      <w:sz w:val="24"/>
      <w:szCs w:val="24"/>
    </w:rPr>
  </w:style>
  <w:style w:type="paragraph" w:customStyle="1" w:styleId="220">
    <w:name w:val="样式 标题 1 + 首行缩进:  2 字符 段前: 1 行 段后: 1 行"/>
    <w:basedOn w:val="2"/>
    <w:qFormat/>
    <w:uiPriority w:val="0"/>
    <w:pPr>
      <w:snapToGrid w:val="0"/>
      <w:spacing w:beforeLines="100" w:afterLines="100" w:line="336" w:lineRule="auto"/>
    </w:pPr>
    <w:rPr>
      <w:rFonts w:ascii="Arial" w:hAnsi="Arial" w:eastAsia="黑体" w:cs="宋体"/>
      <w:bCs/>
      <w:sz w:val="30"/>
    </w:rPr>
  </w:style>
  <w:style w:type="paragraph" w:customStyle="1" w:styleId="221">
    <w:name w:val="MH-Spec 6S"/>
    <w:basedOn w:val="1"/>
    <w:qFormat/>
    <w:uiPriority w:val="0"/>
    <w:pPr>
      <w:widowControl/>
      <w:tabs>
        <w:tab w:val="left" w:pos="1134"/>
      </w:tabs>
      <w:spacing w:before="240"/>
      <w:ind w:left="1134" w:hanging="567"/>
      <w:jc w:val="left"/>
    </w:pPr>
    <w:rPr>
      <w:rFonts w:cs="Times New Roman"/>
      <w:kern w:val="0"/>
      <w:sz w:val="22"/>
      <w:szCs w:val="20"/>
      <w:lang w:bidi="en-US"/>
    </w:rPr>
  </w:style>
  <w:style w:type="paragraph" w:customStyle="1" w:styleId="222">
    <w:name w:val="Char Char Char Char Char Char1"/>
    <w:basedOn w:val="1"/>
    <w:qFormat/>
    <w:uiPriority w:val="0"/>
    <w:rPr>
      <w:rFonts w:ascii="Times New Roman" w:hAnsi="Times New Roman" w:cs="Times New Roman"/>
      <w:szCs w:val="24"/>
    </w:rPr>
  </w:style>
  <w:style w:type="paragraph" w:customStyle="1" w:styleId="223">
    <w:name w:val="Char Char Char Char Char Char Char1"/>
    <w:basedOn w:val="1"/>
    <w:qFormat/>
    <w:uiPriority w:val="0"/>
    <w:pPr>
      <w:spacing w:line="480" w:lineRule="exact"/>
    </w:pPr>
    <w:rPr>
      <w:rFonts w:ascii="Times New Roman" w:hAnsi="Times New Roman" w:cs="Times New Roman"/>
      <w:szCs w:val="24"/>
    </w:rPr>
  </w:style>
  <w:style w:type="paragraph" w:customStyle="1" w:styleId="22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225">
    <w:name w:val="p17"/>
    <w:basedOn w:val="1"/>
    <w:qFormat/>
    <w:uiPriority w:val="0"/>
    <w:pPr>
      <w:widowControl/>
    </w:pPr>
    <w:rPr>
      <w:rFonts w:ascii="宋体" w:hAnsi="宋体" w:cs="宋体"/>
      <w:kern w:val="0"/>
      <w:szCs w:val="21"/>
    </w:rPr>
  </w:style>
  <w:style w:type="paragraph" w:customStyle="1" w:styleId="226">
    <w:name w:val="Char Char Char Char Char Char1 Char Char Char Char"/>
    <w:basedOn w:val="1"/>
    <w:qFormat/>
    <w:uiPriority w:val="0"/>
    <w:rPr>
      <w:rFonts w:ascii="仿宋_GB2312" w:hAnsi="Times New Roman" w:eastAsia="仿宋_GB2312" w:cs="Times New Roman"/>
      <w:b/>
      <w:sz w:val="32"/>
      <w:szCs w:val="32"/>
    </w:rPr>
  </w:style>
  <w:style w:type="paragraph" w:customStyle="1" w:styleId="227">
    <w:name w:val="正文列表"/>
    <w:qFormat/>
    <w:uiPriority w:val="0"/>
    <w:pPr>
      <w:widowControl w:val="0"/>
      <w:spacing w:line="360" w:lineRule="auto"/>
      <w:ind w:firstLine="540" w:firstLineChars="225"/>
      <w:jc w:val="both"/>
    </w:pPr>
    <w:rPr>
      <w:rFonts w:ascii="宋体" w:hAnsi="宋体" w:eastAsia="宋体" w:cs="Times New Roman"/>
      <w:color w:val="000000"/>
      <w:kern w:val="2"/>
      <w:sz w:val="24"/>
      <w:szCs w:val="24"/>
      <w:lang w:val="en-US" w:eastAsia="zh-CN" w:bidi="ar-SA"/>
    </w:rPr>
  </w:style>
  <w:style w:type="paragraph" w:customStyle="1" w:styleId="228">
    <w:name w:val="xl46"/>
    <w:basedOn w:val="1"/>
    <w:qFormat/>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paragraph" w:customStyle="1" w:styleId="229">
    <w:name w:val="章、篇名"/>
    <w:basedOn w:val="1"/>
    <w:next w:val="1"/>
    <w:qFormat/>
    <w:uiPriority w:val="0"/>
    <w:pPr>
      <w:spacing w:before="480" w:after="360" w:line="560" w:lineRule="exact"/>
      <w:jc w:val="center"/>
    </w:pPr>
    <w:rPr>
      <w:rFonts w:ascii="Times New Roman" w:hAnsi="Times New Roman" w:eastAsia="文鼎大标宋简" w:cs="Times New Roman"/>
      <w:b/>
      <w:sz w:val="36"/>
      <w:szCs w:val="20"/>
    </w:rPr>
  </w:style>
  <w:style w:type="paragraph" w:customStyle="1" w:styleId="230">
    <w:name w:val="MH-Spec TXT 2"/>
    <w:basedOn w:val="1"/>
    <w:qFormat/>
    <w:uiPriority w:val="0"/>
    <w:pPr>
      <w:spacing w:beforeLines="100"/>
      <w:ind w:left="567"/>
      <w:jc w:val="left"/>
    </w:pPr>
    <w:rPr>
      <w:rFonts w:cs="Times New Roman"/>
      <w:kern w:val="28"/>
      <w:sz w:val="22"/>
      <w:szCs w:val="20"/>
    </w:rPr>
  </w:style>
  <w:style w:type="paragraph" w:customStyle="1" w:styleId="23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cs="Times New Roman"/>
      <w:kern w:val="0"/>
      <w:sz w:val="24"/>
      <w:szCs w:val="24"/>
    </w:rPr>
  </w:style>
  <w:style w:type="paragraph" w:customStyle="1" w:styleId="232">
    <w:name w:val="MH-Spec 9S"/>
    <w:basedOn w:val="1"/>
    <w:qFormat/>
    <w:uiPriority w:val="0"/>
    <w:pPr>
      <w:ind w:left="2835" w:hanging="567"/>
      <w:jc w:val="left"/>
    </w:pPr>
    <w:rPr>
      <w:rFonts w:cs="Times New Roman"/>
      <w:kern w:val="0"/>
      <w:sz w:val="22"/>
      <w:szCs w:val="20"/>
      <w:lang w:eastAsia="en-US"/>
    </w:rPr>
  </w:style>
  <w:style w:type="paragraph" w:customStyle="1" w:styleId="233">
    <w:name w:val="È±Ê¡ÎÄ±¾"/>
    <w:basedOn w:val="1"/>
    <w:qFormat/>
    <w:uiPriority w:val="0"/>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234">
    <w:name w:val="表格3"/>
    <w:basedOn w:val="1"/>
    <w:qFormat/>
    <w:uiPriority w:val="0"/>
    <w:pPr>
      <w:adjustRightInd w:val="0"/>
      <w:spacing w:line="420" w:lineRule="atLeast"/>
      <w:textAlignment w:val="baseline"/>
    </w:pPr>
    <w:rPr>
      <w:rFonts w:ascii="Times New Roman" w:hAnsi="Times New Roman" w:eastAsia="楷体" w:cs="Times New Roman"/>
      <w:kern w:val="0"/>
      <w:szCs w:val="20"/>
    </w:rPr>
  </w:style>
  <w:style w:type="paragraph" w:customStyle="1" w:styleId="235">
    <w:name w:val="±íÍ·"/>
    <w:basedOn w:val="1"/>
    <w:qFormat/>
    <w:uiPriority w:val="0"/>
    <w:pPr>
      <w:widowControl/>
      <w:overflowPunct w:val="0"/>
      <w:autoSpaceDE w:val="0"/>
      <w:autoSpaceDN w:val="0"/>
      <w:adjustRightInd w:val="0"/>
      <w:jc w:val="center"/>
      <w:textAlignment w:val="baseline"/>
    </w:pPr>
    <w:rPr>
      <w:rFonts w:ascii="Arial" w:hAnsi="Arial" w:cs="Times New Roman"/>
      <w:kern w:val="0"/>
      <w:sz w:val="18"/>
      <w:szCs w:val="20"/>
    </w:rPr>
  </w:style>
  <w:style w:type="paragraph" w:customStyle="1" w:styleId="236">
    <w:name w:val="Char31"/>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237">
    <w:name w:val="Char1 Char Char Char1 Char Char Char Char Char Char Char Char Char"/>
    <w:basedOn w:val="1"/>
    <w:qFormat/>
    <w:uiPriority w:val="0"/>
    <w:pPr>
      <w:spacing w:before="120" w:after="120" w:line="360" w:lineRule="auto"/>
      <w:ind w:firstLine="200" w:firstLineChars="200"/>
    </w:pPr>
    <w:rPr>
      <w:rFonts w:cs="Times New Roman"/>
    </w:rPr>
  </w:style>
  <w:style w:type="paragraph" w:customStyle="1" w:styleId="238">
    <w:name w:val="1."/>
    <w:basedOn w:val="1"/>
    <w:qFormat/>
    <w:uiPriority w:val="0"/>
    <w:pPr>
      <w:tabs>
        <w:tab w:val="left" w:pos="360"/>
        <w:tab w:val="left" w:pos="2040"/>
      </w:tabs>
      <w:spacing w:line="360" w:lineRule="auto"/>
      <w:ind w:firstLine="482"/>
    </w:pPr>
    <w:rPr>
      <w:rFonts w:ascii="Times New Roman" w:hAnsi="Times New Roman" w:cs="Times New Roman"/>
      <w:sz w:val="28"/>
      <w:szCs w:val="20"/>
    </w:rPr>
  </w:style>
  <w:style w:type="paragraph" w:customStyle="1" w:styleId="239">
    <w:name w:val="表头"/>
    <w:basedOn w:val="240"/>
    <w:qFormat/>
    <w:uiPriority w:val="0"/>
    <w:rPr>
      <w:rFonts w:ascii="黑体" w:eastAsia="黑体"/>
      <w:b/>
    </w:rPr>
  </w:style>
  <w:style w:type="paragraph" w:customStyle="1" w:styleId="240">
    <w:name w:val="表格方字"/>
    <w:basedOn w:val="1"/>
    <w:qFormat/>
    <w:uiPriority w:val="0"/>
    <w:pPr>
      <w:adjustRightInd w:val="0"/>
      <w:spacing w:before="60" w:after="60" w:line="420" w:lineRule="atLeast"/>
      <w:jc w:val="left"/>
      <w:textAlignment w:val="baseline"/>
    </w:pPr>
    <w:rPr>
      <w:rFonts w:ascii="Times New Roman" w:hAnsi="Times New Roman" w:cs="Times New Roman"/>
      <w:kern w:val="0"/>
      <w:szCs w:val="20"/>
    </w:rPr>
  </w:style>
  <w:style w:type="paragraph" w:customStyle="1" w:styleId="241">
    <w:name w:val="列表2"/>
    <w:basedOn w:val="1"/>
    <w:qFormat/>
    <w:uiPriority w:val="0"/>
    <w:pPr>
      <w:spacing w:line="360" w:lineRule="auto"/>
      <w:ind w:left="1418"/>
    </w:pPr>
    <w:rPr>
      <w:rFonts w:ascii="Times New Roman" w:hAnsi="Times New Roman" w:cs="Times New Roman"/>
      <w:sz w:val="24"/>
      <w:szCs w:val="24"/>
    </w:rPr>
  </w:style>
  <w:style w:type="paragraph" w:customStyle="1" w:styleId="242">
    <w:name w:val="样式 标题 2 + (中文) 宋体 五号 非加粗 Char"/>
    <w:basedOn w:val="3"/>
    <w:qFormat/>
    <w:uiPriority w:val="0"/>
    <w:pPr>
      <w:spacing w:before="0" w:after="0" w:line="400" w:lineRule="exact"/>
    </w:pPr>
    <w:rPr>
      <w:rFonts w:ascii="Times New Roman" w:hAnsi="Times New Roman"/>
      <w:i/>
      <w:iCs/>
      <w:sz w:val="28"/>
      <w:szCs w:val="24"/>
    </w:rPr>
  </w:style>
  <w:style w:type="paragraph" w:customStyle="1" w:styleId="243">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cs="Times New Roman"/>
      <w:kern w:val="0"/>
      <w:sz w:val="18"/>
      <w:szCs w:val="20"/>
    </w:rPr>
  </w:style>
  <w:style w:type="paragraph" w:customStyle="1" w:styleId="244">
    <w:name w:val="九号线项目符号"/>
    <w:basedOn w:val="1"/>
    <w:qFormat/>
    <w:uiPriority w:val="0"/>
    <w:pPr>
      <w:tabs>
        <w:tab w:val="left" w:pos="620"/>
        <w:tab w:val="left" w:pos="1140"/>
      </w:tabs>
      <w:spacing w:line="360" w:lineRule="auto"/>
      <w:ind w:left="1140" w:hanging="420"/>
    </w:pPr>
    <w:rPr>
      <w:rFonts w:ascii="Times New Roman" w:hAnsi="Times New Roman" w:eastAsia="微软雅黑" w:cs="Times New Roman"/>
      <w:sz w:val="24"/>
      <w:szCs w:val="20"/>
    </w:rPr>
  </w:style>
  <w:style w:type="paragraph" w:customStyle="1" w:styleId="245">
    <w:name w:val="正文表"/>
    <w:basedOn w:val="1"/>
    <w:qFormat/>
    <w:uiPriority w:val="0"/>
    <w:pPr>
      <w:spacing w:line="360" w:lineRule="auto"/>
      <w:ind w:left="11" w:right="-58"/>
    </w:pPr>
    <w:rPr>
      <w:rFonts w:ascii="楷体_GB2312" w:hAnsi="Times New Roman" w:eastAsia="楷体_GB2312" w:cs="Times New Roman"/>
      <w:b/>
      <w:sz w:val="24"/>
      <w:szCs w:val="20"/>
    </w:rPr>
  </w:style>
  <w:style w:type="paragraph" w:customStyle="1" w:styleId="246">
    <w:name w:val="aa"/>
    <w:basedOn w:val="1"/>
    <w:qFormat/>
    <w:uiPriority w:val="0"/>
    <w:pPr>
      <w:spacing w:line="360" w:lineRule="auto"/>
    </w:pPr>
    <w:rPr>
      <w:rFonts w:ascii="Times New Roman" w:hAnsi="Times New Roman" w:cs="Times New Roman"/>
      <w:sz w:val="24"/>
      <w:szCs w:val="24"/>
    </w:rPr>
  </w:style>
  <w:style w:type="paragraph" w:customStyle="1" w:styleId="247">
    <w:name w:val="样式 标题 2 + (中文) 宋体 五号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48">
    <w:name w:val="表格5"/>
    <w:basedOn w:val="197"/>
    <w:qFormat/>
    <w:uiPriority w:val="0"/>
    <w:pPr>
      <w:ind w:left="1021" w:hanging="284"/>
    </w:pPr>
    <w:rPr>
      <w:rFonts w:ascii="宋体"/>
    </w:rPr>
  </w:style>
  <w:style w:type="paragraph" w:customStyle="1" w:styleId="249">
    <w:name w:val="_Style 207"/>
    <w:qFormat/>
    <w:uiPriority w:val="0"/>
    <w:pPr>
      <w:widowControl w:val="0"/>
      <w:jc w:val="both"/>
    </w:pPr>
    <w:rPr>
      <w:rFonts w:ascii="Calibri" w:hAnsi="Calibri" w:eastAsia="宋体" w:cs="黑体"/>
      <w:kern w:val="2"/>
      <w:sz w:val="21"/>
      <w:szCs w:val="22"/>
      <w:lang w:val="en-US" w:eastAsia="zh-CN" w:bidi="ar-SA"/>
    </w:rPr>
  </w:style>
  <w:style w:type="paragraph" w:customStyle="1" w:styleId="250">
    <w:name w:val="2"/>
    <w:basedOn w:val="1"/>
    <w:qFormat/>
    <w:uiPriority w:val="0"/>
    <w:pPr>
      <w:adjustRightInd w:val="0"/>
      <w:spacing w:line="420" w:lineRule="atLeast"/>
      <w:ind w:left="1134" w:hanging="227"/>
      <w:textAlignment w:val="baseline"/>
    </w:pPr>
    <w:rPr>
      <w:rFonts w:ascii="Times New Roman" w:hAnsi="Times New Roman" w:cs="Times New Roman"/>
      <w:kern w:val="0"/>
      <w:szCs w:val="20"/>
    </w:rPr>
  </w:style>
  <w:style w:type="paragraph" w:customStyle="1" w:styleId="251">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52">
    <w:name w:val="Char2"/>
    <w:basedOn w:val="1"/>
    <w:qFormat/>
    <w:uiPriority w:val="0"/>
    <w:rPr>
      <w:rFonts w:ascii="Times New Roman" w:hAnsi="Times New Roman" w:cs="Times New Roman"/>
      <w:szCs w:val="20"/>
    </w:rPr>
  </w:style>
  <w:style w:type="paragraph" w:customStyle="1" w:styleId="253">
    <w:name w:val=".."/>
    <w:basedOn w:val="213"/>
    <w:next w:val="213"/>
    <w:qFormat/>
    <w:uiPriority w:val="0"/>
    <w:rPr>
      <w:rFonts w:ascii="宋体" w:eastAsia="宋体" w:cs="Times New Roman"/>
      <w:color w:val="auto"/>
    </w:rPr>
  </w:style>
  <w:style w:type="paragraph" w:customStyle="1" w:styleId="254">
    <w:name w:val="Char Char Char"/>
    <w:basedOn w:val="1"/>
    <w:qFormat/>
    <w:uiPriority w:val="0"/>
    <w:rPr>
      <w:rFonts w:ascii="Tahoma" w:hAnsi="Tahoma" w:cs="Times New Roman"/>
      <w:sz w:val="24"/>
      <w:szCs w:val="20"/>
    </w:rPr>
  </w:style>
  <w:style w:type="paragraph" w:customStyle="1" w:styleId="255">
    <w:name w:val="font0"/>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256">
    <w:name w:val="xl30"/>
    <w:basedOn w:val="1"/>
    <w:qFormat/>
    <w:uiPriority w:val="0"/>
    <w:pPr>
      <w:widowControl/>
      <w:spacing w:before="100" w:beforeAutospacing="1" w:after="100" w:afterAutospacing="1"/>
      <w:jc w:val="center"/>
    </w:pPr>
    <w:rPr>
      <w:rFonts w:ascii="宋体" w:hAnsi="宋体" w:cs="Times New Roman"/>
      <w:b/>
      <w:bCs/>
      <w:kern w:val="0"/>
      <w:sz w:val="36"/>
      <w:szCs w:val="36"/>
    </w:rPr>
  </w:style>
  <w:style w:type="paragraph" w:customStyle="1" w:styleId="257">
    <w:name w:val="MH-Spec 4S"/>
    <w:basedOn w:val="1"/>
    <w:qFormat/>
    <w:uiPriority w:val="0"/>
    <w:pPr>
      <w:spacing w:beforeLines="100"/>
      <w:ind w:left="851" w:hanging="851"/>
      <w:jc w:val="left"/>
    </w:pPr>
    <w:rPr>
      <w:rFonts w:cs="Times New Roman"/>
      <w:b/>
      <w:bCs/>
      <w:kern w:val="0"/>
      <w:sz w:val="22"/>
      <w:szCs w:val="20"/>
    </w:rPr>
  </w:style>
  <w:style w:type="paragraph" w:customStyle="1" w:styleId="258">
    <w:name w:val="格式３"/>
    <w:basedOn w:val="1"/>
    <w:qFormat/>
    <w:uiPriority w:val="0"/>
    <w:pPr>
      <w:spacing w:line="420" w:lineRule="exact"/>
      <w:ind w:left="600" w:hanging="600" w:hangingChars="250"/>
    </w:pPr>
    <w:rPr>
      <w:rFonts w:ascii="宋体" w:hAnsi="宋体" w:cs="Times New Roman"/>
      <w:color w:val="000000"/>
      <w:sz w:val="24"/>
      <w:szCs w:val="20"/>
    </w:rPr>
  </w:style>
  <w:style w:type="paragraph" w:customStyle="1" w:styleId="259">
    <w:name w:val="标题4"/>
    <w:basedOn w:val="5"/>
    <w:qFormat/>
    <w:uiPriority w:val="0"/>
    <w:pPr>
      <w:tabs>
        <w:tab w:val="left" w:pos="315"/>
        <w:tab w:val="left" w:pos="3388"/>
        <w:tab w:val="clear" w:pos="3229"/>
      </w:tabs>
      <w:adjustRightInd w:val="0"/>
      <w:snapToGrid w:val="0"/>
      <w:spacing w:beforeLines="100" w:afterLines="100"/>
      <w:ind w:left="0" w:firstLine="480" w:firstLineChars="200"/>
      <w:jc w:val="both"/>
      <w:textAlignment w:val="baseline"/>
      <w:outlineLvl w:val="3"/>
    </w:pPr>
    <w:rPr>
      <w:rFonts w:eastAsia="黑体"/>
      <w:b w:val="0"/>
      <w:sz w:val="24"/>
      <w:szCs w:val="20"/>
    </w:rPr>
  </w:style>
  <w:style w:type="paragraph" w:customStyle="1" w:styleId="260">
    <w:name w:val="表中"/>
    <w:basedOn w:val="1"/>
    <w:qFormat/>
    <w:uiPriority w:val="0"/>
    <w:pPr>
      <w:adjustRightInd w:val="0"/>
      <w:spacing w:line="360" w:lineRule="atLeast"/>
      <w:jc w:val="center"/>
      <w:textAlignment w:val="baseline"/>
    </w:pPr>
    <w:rPr>
      <w:rFonts w:ascii="Times New Roman" w:hAnsi="Times New Roman" w:cs="Times New Roman"/>
      <w:kern w:val="0"/>
      <w:szCs w:val="20"/>
    </w:rPr>
  </w:style>
  <w:style w:type="paragraph" w:customStyle="1" w:styleId="261">
    <w:name w:val="四级条标题"/>
    <w:basedOn w:val="204"/>
    <w:next w:val="153"/>
    <w:qFormat/>
    <w:uiPriority w:val="0"/>
    <w:pPr>
      <w:tabs>
        <w:tab w:val="left" w:pos="1260"/>
      </w:tabs>
      <w:ind w:left="1260"/>
      <w:outlineLvl w:val="5"/>
    </w:pPr>
  </w:style>
  <w:style w:type="paragraph" w:customStyle="1" w:styleId="262">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263">
    <w:name w:val="列表编号4"/>
    <w:basedOn w:val="1"/>
    <w:qFormat/>
    <w:uiPriority w:val="0"/>
    <w:pPr>
      <w:tabs>
        <w:tab w:val="left" w:pos="360"/>
      </w:tabs>
      <w:spacing w:line="440" w:lineRule="exact"/>
      <w:ind w:left="200"/>
    </w:pPr>
    <w:rPr>
      <w:rFonts w:ascii="Times New Roman" w:hAnsi="Times New Roman" w:cs="Times New Roman"/>
      <w:sz w:val="24"/>
      <w:szCs w:val="24"/>
    </w:rPr>
  </w:style>
  <w:style w:type="paragraph" w:customStyle="1" w:styleId="264">
    <w:name w:val="样式5"/>
    <w:basedOn w:val="53"/>
    <w:qFormat/>
    <w:uiPriority w:val="0"/>
    <w:pPr>
      <w:snapToGrid w:val="0"/>
      <w:spacing w:before="120" w:afterLines="30" w:line="360" w:lineRule="auto"/>
      <w:ind w:left="238" w:firstLine="480" w:firstLineChars="200"/>
    </w:pPr>
    <w:rPr>
      <w:rFonts w:ascii="宋体" w:hAnsi="宋体"/>
      <w:bCs/>
      <w:iCs/>
      <w:sz w:val="24"/>
    </w:rPr>
  </w:style>
  <w:style w:type="paragraph" w:customStyle="1" w:styleId="26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66">
    <w:name w:val="～"/>
    <w:basedOn w:val="1"/>
    <w:qFormat/>
    <w:uiPriority w:val="0"/>
    <w:pPr>
      <w:adjustRightInd w:val="0"/>
      <w:spacing w:line="360" w:lineRule="auto"/>
      <w:textAlignment w:val="baseline"/>
    </w:pPr>
    <w:rPr>
      <w:rFonts w:ascii="楷体" w:hAnsi="Times New Roman" w:eastAsia="楷体" w:cs="Times New Roman"/>
      <w:kern w:val="0"/>
      <w:sz w:val="28"/>
      <w:szCs w:val="20"/>
    </w:rPr>
  </w:style>
  <w:style w:type="paragraph" w:customStyle="1" w:styleId="267">
    <w:name w:val="正文文本 3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68">
    <w:name w:val="font7"/>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paragraph" w:customStyle="1" w:styleId="269">
    <w:name w:val="正文 + 小四正文 + 小四正文 + 小四 Char Char"/>
    <w:basedOn w:val="1"/>
    <w:qFormat/>
    <w:uiPriority w:val="0"/>
    <w:pPr>
      <w:ind w:firstLine="480" w:firstLineChars="200"/>
    </w:pPr>
    <w:rPr>
      <w:rFonts w:ascii="仿宋_GB2312" w:hAnsi="宋体" w:cs="Times New Roman"/>
      <w:bCs/>
      <w:sz w:val="24"/>
      <w:szCs w:val="24"/>
    </w:rPr>
  </w:style>
  <w:style w:type="paragraph" w:customStyle="1" w:styleId="270">
    <w:name w:val="...."/>
    <w:basedOn w:val="213"/>
    <w:next w:val="213"/>
    <w:qFormat/>
    <w:uiPriority w:val="0"/>
    <w:rPr>
      <w:rFonts w:ascii="宋体" w:eastAsia="宋体" w:cs="Times New Roman"/>
      <w:color w:val="auto"/>
    </w:rPr>
  </w:style>
  <w:style w:type="paragraph" w:customStyle="1" w:styleId="271">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272">
    <w:name w:val="Char Char Char Char"/>
    <w:basedOn w:val="1"/>
    <w:qFormat/>
    <w:uiPriority w:val="0"/>
    <w:pPr>
      <w:widowControl/>
      <w:spacing w:after="160" w:line="240" w:lineRule="exact"/>
      <w:jc w:val="left"/>
    </w:pPr>
    <w:rPr>
      <w:rFonts w:ascii="Times New Roman" w:hAnsi="Times New Roman" w:cs="Times New Roman"/>
      <w:szCs w:val="20"/>
    </w:rPr>
  </w:style>
  <w:style w:type="paragraph" w:customStyle="1" w:styleId="273">
    <w:name w:val="Header1"/>
    <w:basedOn w:val="1"/>
    <w:qFormat/>
    <w:uiPriority w:val="0"/>
    <w:pPr>
      <w:jc w:val="center"/>
    </w:pPr>
    <w:rPr>
      <w:rFonts w:ascii="Times New Roman Bold" w:hAnsi="Times New Roman Bold" w:cs="Times New Roman"/>
      <w:b/>
      <w:smallCaps/>
      <w:kern w:val="0"/>
      <w:sz w:val="36"/>
      <w:szCs w:val="20"/>
    </w:rPr>
  </w:style>
  <w:style w:type="paragraph" w:customStyle="1" w:styleId="274">
    <w:name w:val="样式 标题 2 + 首行缩进:  2 字符 段前: 1 行 段后: 0.5 行"/>
    <w:basedOn w:val="3"/>
    <w:qFormat/>
    <w:uiPriority w:val="0"/>
    <w:pPr>
      <w:snapToGrid w:val="0"/>
      <w:spacing w:beforeLines="100" w:afterLines="50" w:line="336" w:lineRule="auto"/>
    </w:pPr>
    <w:rPr>
      <w:rFonts w:cs="宋体"/>
      <w:b w:val="0"/>
      <w:i/>
      <w:iCs/>
      <w:sz w:val="28"/>
      <w:szCs w:val="24"/>
    </w:rPr>
  </w:style>
  <w:style w:type="paragraph" w:customStyle="1" w:styleId="275">
    <w:name w:val="Char Char Char Char Char Char Char"/>
    <w:basedOn w:val="1"/>
    <w:qFormat/>
    <w:uiPriority w:val="0"/>
    <w:pPr>
      <w:spacing w:line="480" w:lineRule="exact"/>
    </w:pPr>
    <w:rPr>
      <w:rFonts w:ascii="Times New Roman" w:hAnsi="Times New Roman" w:cs="Times New Roman"/>
      <w:szCs w:val="24"/>
    </w:rPr>
  </w:style>
  <w:style w:type="paragraph" w:customStyle="1" w:styleId="276">
    <w:name w:val="xl74"/>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77">
    <w:name w:val="xl33"/>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78">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279">
    <w:name w:val="样式"/>
    <w:basedOn w:val="1"/>
    <w:next w:val="31"/>
    <w:qFormat/>
    <w:uiPriority w:val="0"/>
    <w:rPr>
      <w:rFonts w:ascii="宋体" w:hAnsi="Courier New" w:cs="宋体"/>
      <w:szCs w:val="21"/>
    </w:rPr>
  </w:style>
  <w:style w:type="paragraph" w:customStyle="1" w:styleId="280">
    <w:name w:val="小四表内文字"/>
    <w:basedOn w:val="4"/>
    <w:qFormat/>
    <w:uiPriority w:val="0"/>
    <w:pPr>
      <w:tabs>
        <w:tab w:val="left" w:pos="874"/>
        <w:tab w:val="left" w:pos="1260"/>
      </w:tabs>
      <w:ind w:left="1" w:firstLine="0"/>
      <w:jc w:val="left"/>
    </w:pPr>
    <w:rPr>
      <w:rFonts w:ascii="宋体"/>
      <w:b/>
      <w:bCs/>
      <w:smallCaps/>
      <w:color w:val="000000"/>
      <w:szCs w:val="21"/>
    </w:rPr>
  </w:style>
  <w:style w:type="paragraph" w:customStyle="1" w:styleId="281">
    <w:name w:val="修订2"/>
    <w:qFormat/>
    <w:uiPriority w:val="0"/>
    <w:rPr>
      <w:rFonts w:ascii="Times New Roman" w:hAnsi="Times New Roman" w:eastAsia="宋体" w:cs="Times New Roman"/>
      <w:kern w:val="2"/>
      <w:sz w:val="21"/>
      <w:szCs w:val="24"/>
      <w:lang w:val="en-US" w:eastAsia="zh-CN" w:bidi="ar-SA"/>
    </w:rPr>
  </w:style>
  <w:style w:type="paragraph" w:customStyle="1" w:styleId="282">
    <w:name w:val="文档正文"/>
    <w:basedOn w:val="1"/>
    <w:qFormat/>
    <w:uiPriority w:val="0"/>
    <w:pPr>
      <w:adjustRightInd w:val="0"/>
      <w:spacing w:line="480" w:lineRule="atLeast"/>
      <w:ind w:left="1" w:firstLine="567" w:firstLineChars="200"/>
      <w:jc w:val="left"/>
      <w:textAlignment w:val="baseline"/>
    </w:pPr>
    <w:rPr>
      <w:rFonts w:ascii="仿宋_GB2312" w:hAnsi="Times New Roman" w:eastAsia="仿宋_GB2312" w:cs="Times New Roman"/>
      <w:b/>
      <w:bCs/>
      <w:smallCaps/>
      <w:kern w:val="0"/>
      <w:sz w:val="28"/>
      <w:szCs w:val="21"/>
    </w:rPr>
  </w:style>
  <w:style w:type="paragraph" w:customStyle="1" w:styleId="283">
    <w:name w:val="正文11"/>
    <w:basedOn w:val="1"/>
    <w:qFormat/>
    <w:uiPriority w:val="0"/>
    <w:pPr>
      <w:autoSpaceDE w:val="0"/>
      <w:autoSpaceDN w:val="0"/>
      <w:adjustRightInd w:val="0"/>
      <w:spacing w:before="120" w:line="360" w:lineRule="auto"/>
      <w:ind w:left="1366" w:hanging="686"/>
    </w:pPr>
    <w:rPr>
      <w:rFonts w:ascii="Times New Roman" w:hAnsi="Times New Roman" w:cs="Times New Roman"/>
      <w:szCs w:val="20"/>
    </w:rPr>
  </w:style>
  <w:style w:type="paragraph" w:customStyle="1" w:styleId="284">
    <w:name w:val="样式1"/>
    <w:basedOn w:val="6"/>
    <w:qFormat/>
    <w:uiPriority w:val="0"/>
    <w:pPr>
      <w:keepLines/>
      <w:tabs>
        <w:tab w:val="left" w:pos="2356"/>
      </w:tabs>
      <w:adjustRightInd/>
      <w:spacing w:before="120" w:after="120" w:line="360" w:lineRule="auto"/>
      <w:ind w:left="1984" w:hanging="708"/>
      <w:jc w:val="both"/>
      <w:textAlignment w:val="auto"/>
    </w:pPr>
    <w:rPr>
      <w:rFonts w:hAnsi="Arial" w:eastAsia="黑体"/>
      <w:i w:val="0"/>
      <w:shadow/>
      <w:kern w:val="2"/>
      <w:sz w:val="30"/>
    </w:rPr>
  </w:style>
  <w:style w:type="paragraph" w:customStyle="1" w:styleId="285">
    <w:name w:val="Char6"/>
    <w:basedOn w:val="1"/>
    <w:qFormat/>
    <w:uiPriority w:val="0"/>
    <w:pPr>
      <w:widowControl/>
      <w:spacing w:after="160" w:line="240" w:lineRule="exact"/>
      <w:jc w:val="left"/>
    </w:pPr>
    <w:rPr>
      <w:rFonts w:ascii="Times New Roman" w:hAnsi="Times New Roman" w:cs="Times New Roman"/>
      <w:szCs w:val="24"/>
    </w:rPr>
  </w:style>
  <w:style w:type="paragraph" w:customStyle="1" w:styleId="286">
    <w:name w:val="Char1 Char Char Char"/>
    <w:basedOn w:val="1"/>
    <w:qFormat/>
    <w:uiPriority w:val="0"/>
    <w:pPr>
      <w:widowControl/>
      <w:spacing w:after="160" w:line="240" w:lineRule="exact"/>
    </w:pPr>
    <w:rPr>
      <w:rFonts w:ascii="Arial" w:hAnsi="Arial" w:cs="Times New Roman"/>
      <w:kern w:val="0"/>
      <w:sz w:val="22"/>
      <w:szCs w:val="20"/>
      <w:lang w:eastAsia="en-US"/>
    </w:rPr>
  </w:style>
  <w:style w:type="paragraph" w:customStyle="1" w:styleId="287">
    <w:name w:val="小标题"/>
    <w:basedOn w:val="1"/>
    <w:next w:val="1"/>
    <w:qFormat/>
    <w:uiPriority w:val="0"/>
    <w:pPr>
      <w:keepNext/>
      <w:spacing w:before="240" w:after="120" w:line="360" w:lineRule="auto"/>
      <w:ind w:firstLine="200" w:firstLineChars="200"/>
    </w:pPr>
    <w:rPr>
      <w:rFonts w:ascii="Times New Roman" w:hAnsi="Times New Roman" w:eastAsia="黑体" w:cs="Times New Roman"/>
      <w:b/>
      <w:sz w:val="24"/>
      <w:szCs w:val="24"/>
    </w:rPr>
  </w:style>
  <w:style w:type="paragraph" w:customStyle="1" w:styleId="288">
    <w:name w:val="内正文"/>
    <w:basedOn w:val="1"/>
    <w:qFormat/>
    <w:uiPriority w:val="0"/>
    <w:pPr>
      <w:ind w:firstLine="420"/>
    </w:pPr>
    <w:rPr>
      <w:rFonts w:ascii="Times New Roman" w:hAnsi="Times New Roman" w:eastAsia="文鼎CS书宋二" w:cs="Times New Roman"/>
      <w:szCs w:val="20"/>
    </w:rPr>
  </w:style>
  <w:style w:type="paragraph" w:customStyle="1" w:styleId="289">
    <w:name w:val="一、"/>
    <w:next w:val="61"/>
    <w:qFormat/>
    <w:uiPriority w:val="0"/>
    <w:pPr>
      <w:tabs>
        <w:tab w:val="left" w:pos="360"/>
        <w:tab w:val="left" w:pos="425"/>
      </w:tabs>
      <w:spacing w:before="240" w:after="240"/>
    </w:pPr>
    <w:rPr>
      <w:rFonts w:ascii="Times New Roman" w:hAnsi="Times New Roman" w:eastAsia="黑体" w:cs="Times New Roman"/>
      <w:sz w:val="28"/>
      <w:lang w:val="en-US" w:eastAsia="zh-CN" w:bidi="ar-SA"/>
    </w:rPr>
  </w:style>
  <w:style w:type="paragraph" w:customStyle="1" w:styleId="290">
    <w:name w:val="TOC 标题1"/>
    <w:basedOn w:val="2"/>
    <w:next w:val="1"/>
    <w:unhideWhenUsed/>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291">
    <w:name w:val="列出段落11"/>
    <w:basedOn w:val="1"/>
    <w:qFormat/>
    <w:uiPriority w:val="34"/>
    <w:pPr>
      <w:ind w:firstLine="420" w:firstLineChars="200"/>
    </w:pPr>
    <w:rPr>
      <w:rFonts w:ascii="Times New Roman" w:hAnsi="Times New Roman" w:cs="Times New Roman"/>
      <w:szCs w:val="24"/>
    </w:rPr>
  </w:style>
  <w:style w:type="paragraph" w:customStyle="1" w:styleId="292">
    <w:name w:val="Default Paragraph Char Char Char Char"/>
    <w:basedOn w:val="1"/>
    <w:next w:val="1"/>
    <w:qFormat/>
    <w:uiPriority w:val="0"/>
    <w:pPr>
      <w:widowControl/>
      <w:spacing w:line="360" w:lineRule="auto"/>
      <w:jc w:val="left"/>
    </w:pPr>
    <w:rPr>
      <w:rFonts w:ascii="Times New Roman" w:hAnsi="Times New Roman" w:cs="Times New Roman"/>
      <w:kern w:val="0"/>
      <w:szCs w:val="20"/>
      <w:lang w:eastAsia="en-US"/>
    </w:rPr>
  </w:style>
  <w:style w:type="paragraph" w:customStyle="1" w:styleId="293">
    <w:name w:val="Char61"/>
    <w:basedOn w:val="1"/>
    <w:qFormat/>
    <w:uiPriority w:val="0"/>
    <w:pPr>
      <w:widowControl/>
      <w:spacing w:after="160" w:line="240" w:lineRule="exact"/>
      <w:jc w:val="left"/>
    </w:pPr>
    <w:rPr>
      <w:rFonts w:ascii="Times New Roman" w:hAnsi="Times New Roman" w:cs="Times New Roman"/>
      <w:szCs w:val="24"/>
    </w:rPr>
  </w:style>
  <w:style w:type="paragraph" w:customStyle="1" w:styleId="294">
    <w:name w:val="text"/>
    <w:basedOn w:val="1"/>
    <w:qFormat/>
    <w:uiPriority w:val="0"/>
    <w:pPr>
      <w:widowControl/>
      <w:spacing w:before="100" w:beforeAutospacing="1" w:after="100" w:afterAutospacing="1" w:line="360" w:lineRule="atLeast"/>
      <w:ind w:firstLine="400"/>
      <w:jc w:val="left"/>
    </w:pPr>
    <w:rPr>
      <w:rFonts w:ascii="宋体" w:hAnsi="宋体" w:cs="Times New Roman"/>
      <w:color w:val="000000"/>
      <w:kern w:val="0"/>
      <w:sz w:val="20"/>
      <w:szCs w:val="20"/>
    </w:rPr>
  </w:style>
  <w:style w:type="paragraph" w:customStyle="1" w:styleId="295">
    <w:name w:val="Char Char Char Char Char Char Char Char Char Char Char Char Char Char Char Char Char Char1 Char Char Char Char"/>
    <w:basedOn w:val="1"/>
    <w:qFormat/>
    <w:uiPriority w:val="0"/>
    <w:rPr>
      <w:rFonts w:ascii="Times New Roman" w:hAnsi="Times New Roman" w:cs="Times New Roman"/>
      <w:szCs w:val="24"/>
    </w:rPr>
  </w:style>
  <w:style w:type="paragraph" w:customStyle="1" w:styleId="296">
    <w:name w:val="表身（左）"/>
    <w:qFormat/>
    <w:uiPriority w:val="0"/>
    <w:pPr>
      <w:adjustRightInd w:val="0"/>
      <w:snapToGrid w:val="0"/>
      <w:spacing w:line="300" w:lineRule="auto"/>
    </w:pPr>
    <w:rPr>
      <w:rFonts w:ascii="Times New Roman" w:hAnsi="Times New Roman" w:eastAsia="宋体" w:cs="Times New Roman"/>
      <w:sz w:val="16"/>
      <w:lang w:val="en-US" w:eastAsia="zh-CN" w:bidi="ar-SA"/>
    </w:rPr>
  </w:style>
  <w:style w:type="paragraph" w:customStyle="1" w:styleId="297">
    <w:name w:val="..."/>
    <w:basedOn w:val="213"/>
    <w:next w:val="213"/>
    <w:qFormat/>
    <w:uiPriority w:val="0"/>
    <w:rPr>
      <w:rFonts w:ascii="宋体" w:eastAsia="宋体" w:cs="Times New Roman"/>
      <w:color w:val="auto"/>
    </w:rPr>
  </w:style>
  <w:style w:type="paragraph" w:customStyle="1" w:styleId="298">
    <w:name w:val="样式 标题 3H3h33rd level + (西文) Times New Roman (中文) 宋体 五号 非加粗..."/>
    <w:basedOn w:val="5"/>
    <w:qFormat/>
    <w:uiPriority w:val="0"/>
    <w:pPr>
      <w:widowControl w:val="0"/>
      <w:tabs>
        <w:tab w:val="clear" w:pos="3229"/>
      </w:tabs>
      <w:spacing w:before="0" w:afterLines="50"/>
      <w:ind w:left="0" w:firstLine="0"/>
      <w:jc w:val="both"/>
    </w:pPr>
    <w:rPr>
      <w:rFonts w:eastAsia="黑体" w:cs="宋体"/>
      <w:b w:val="0"/>
      <w:sz w:val="24"/>
      <w:szCs w:val="21"/>
    </w:rPr>
  </w:style>
  <w:style w:type="paragraph" w:customStyle="1" w:styleId="299">
    <w:name w:val="表格1"/>
    <w:basedOn w:val="1"/>
    <w:qFormat/>
    <w:uiPriority w:val="0"/>
    <w:pPr>
      <w:adjustRightInd w:val="0"/>
      <w:spacing w:line="420" w:lineRule="atLeast"/>
      <w:ind w:left="284"/>
      <w:textAlignment w:val="baseline"/>
    </w:pPr>
    <w:rPr>
      <w:rFonts w:ascii="Times New Roman" w:hAnsi="Times New Roman" w:cs="Times New Roman"/>
      <w:kern w:val="0"/>
      <w:szCs w:val="20"/>
    </w:rPr>
  </w:style>
  <w:style w:type="paragraph" w:customStyle="1" w:styleId="300">
    <w:name w:val="font5"/>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301">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Times New Roman"/>
      <w:kern w:val="0"/>
      <w:szCs w:val="21"/>
    </w:rPr>
  </w:style>
  <w:style w:type="paragraph" w:customStyle="1" w:styleId="302">
    <w:name w:val="Char3"/>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303">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304">
    <w:name w:val="Char Char Char Char Char Char"/>
    <w:basedOn w:val="1"/>
    <w:qFormat/>
    <w:uiPriority w:val="0"/>
    <w:rPr>
      <w:rFonts w:ascii="Times New Roman" w:hAnsi="Times New Roman" w:cs="Times New Roman"/>
      <w:szCs w:val="24"/>
    </w:rPr>
  </w:style>
  <w:style w:type="paragraph" w:customStyle="1" w:styleId="305">
    <w:name w:val="表格6"/>
    <w:basedOn w:val="248"/>
    <w:qFormat/>
    <w:uiPriority w:val="0"/>
    <w:pPr>
      <w:ind w:left="737" w:firstLine="0"/>
    </w:pPr>
  </w:style>
  <w:style w:type="paragraph" w:customStyle="1" w:styleId="306">
    <w:name w:val="样式 标题 3 + 段前: 0.3 行 段后: 0.3 行"/>
    <w:basedOn w:val="5"/>
    <w:qFormat/>
    <w:uiPriority w:val="0"/>
    <w:pPr>
      <w:widowControl w:val="0"/>
      <w:snapToGrid w:val="0"/>
      <w:spacing w:beforeLines="30" w:afterLines="50" w:line="240" w:lineRule="auto"/>
      <w:ind w:left="0" w:firstLine="0"/>
      <w:jc w:val="both"/>
    </w:pPr>
    <w:rPr>
      <w:rFonts w:ascii="Arial Narrow" w:hAnsi="Arial Narrow" w:eastAsia="华文细黑" w:cs="宋体"/>
      <w:sz w:val="24"/>
    </w:rPr>
  </w:style>
  <w:style w:type="paragraph" w:customStyle="1" w:styleId="307">
    <w:name w:val="tableheadin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8">
    <w:name w:val="MH-Spec 8S"/>
    <w:basedOn w:val="1"/>
    <w:qFormat/>
    <w:uiPriority w:val="0"/>
    <w:pPr>
      <w:tabs>
        <w:tab w:val="left" w:pos="2268"/>
      </w:tabs>
      <w:ind w:left="2268" w:hanging="567"/>
      <w:jc w:val="left"/>
    </w:pPr>
    <w:rPr>
      <w:rFonts w:cs="Times New Roman"/>
      <w:kern w:val="0"/>
      <w:sz w:val="22"/>
      <w:szCs w:val="20"/>
      <w:lang w:eastAsia="en-US"/>
    </w:rPr>
  </w:style>
  <w:style w:type="paragraph" w:customStyle="1" w:styleId="309">
    <w:name w:val="表格附注"/>
    <w:qFormat/>
    <w:uiPriority w:val="0"/>
    <w:pPr>
      <w:ind w:left="510" w:hanging="510"/>
    </w:pPr>
    <w:rPr>
      <w:rFonts w:ascii="Times New Roman" w:hAnsi="Times New Roman" w:eastAsia="宋体" w:cs="Times New Roman"/>
      <w:sz w:val="18"/>
      <w:lang w:val="en-US" w:eastAsia="zh-CN" w:bidi="ar-SA"/>
    </w:rPr>
  </w:style>
  <w:style w:type="paragraph" w:customStyle="1" w:styleId="310">
    <w:name w:val="Char Char Char Char Char Char Char Char Char Char Char Char Char1"/>
    <w:basedOn w:val="1"/>
    <w:qFormat/>
    <w:uiPriority w:val="0"/>
    <w:rPr>
      <w:rFonts w:ascii="仿宋_GB2312" w:hAnsi="Times New Roman" w:eastAsia="仿宋_GB2312" w:cs="Times New Roman"/>
      <w:b/>
      <w:sz w:val="32"/>
      <w:szCs w:val="32"/>
    </w:rPr>
  </w:style>
  <w:style w:type="paragraph" w:customStyle="1" w:styleId="311">
    <w:name w:val="样式3"/>
    <w:basedOn w:val="30"/>
    <w:qFormat/>
    <w:uiPriority w:val="0"/>
    <w:pPr>
      <w:tabs>
        <w:tab w:val="right" w:leader="dot" w:pos="8111"/>
      </w:tabs>
      <w:ind w:left="840" w:leftChars="400"/>
      <w:jc w:val="both"/>
    </w:pPr>
    <w:rPr>
      <w:rFonts w:ascii="Calibri" w:hAnsi="Calibri" w:eastAsia="楷体_GB2312"/>
      <w:i w:val="0"/>
      <w:iCs w:val="0"/>
      <w:sz w:val="21"/>
      <w:szCs w:val="22"/>
    </w:rPr>
  </w:style>
  <w:style w:type="paragraph" w:customStyle="1" w:styleId="312">
    <w:name w:val="正文文字 2"/>
    <w:basedOn w:val="1"/>
    <w:qFormat/>
    <w:uiPriority w:val="0"/>
    <w:pPr>
      <w:spacing w:line="300" w:lineRule="exact"/>
    </w:pPr>
    <w:rPr>
      <w:rFonts w:ascii="宋体" w:hAnsi="宋体" w:cs="宋体"/>
      <w:sz w:val="24"/>
      <w:szCs w:val="24"/>
    </w:rPr>
  </w:style>
  <w:style w:type="paragraph" w:customStyle="1" w:styleId="313">
    <w:name w:val="Char12"/>
    <w:basedOn w:val="1"/>
    <w:qFormat/>
    <w:uiPriority w:val="0"/>
    <w:rPr>
      <w:rFonts w:ascii="Times New Roman" w:hAnsi="Times New Roman" w:cs="Times New Roman"/>
      <w:szCs w:val="24"/>
    </w:rPr>
  </w:style>
  <w:style w:type="paragraph" w:customStyle="1" w:styleId="314">
    <w:name w:val="1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315">
    <w:name w:val="Char Char Char Char1"/>
    <w:basedOn w:val="1"/>
    <w:qFormat/>
    <w:uiPriority w:val="0"/>
    <w:pPr>
      <w:widowControl/>
      <w:spacing w:after="160" w:line="240" w:lineRule="exact"/>
      <w:jc w:val="left"/>
    </w:pPr>
    <w:rPr>
      <w:rFonts w:ascii="Times New Roman" w:hAnsi="Times New Roman" w:cs="Times New Roman"/>
      <w:szCs w:val="20"/>
    </w:rPr>
  </w:style>
  <w:style w:type="paragraph" w:customStyle="1" w:styleId="316">
    <w:name w:val="样式 标题 3H3h33rd level + (中文) 宋体 五号 非加粗 行距: 1.5 倍行距"/>
    <w:basedOn w:val="5"/>
    <w:qFormat/>
    <w:uiPriority w:val="0"/>
    <w:pPr>
      <w:widowControl w:val="0"/>
      <w:tabs>
        <w:tab w:val="clear" w:pos="3229"/>
      </w:tabs>
      <w:spacing w:before="0" w:afterLines="50"/>
      <w:ind w:left="0" w:firstLine="0"/>
      <w:jc w:val="both"/>
    </w:pPr>
    <w:rPr>
      <w:rFonts w:ascii="黑体" w:eastAsia="黑体" w:cs="宋体"/>
      <w:b w:val="0"/>
      <w:sz w:val="24"/>
      <w:szCs w:val="21"/>
    </w:rPr>
  </w:style>
  <w:style w:type="paragraph" w:customStyle="1" w:styleId="317">
    <w:name w:val="CM8"/>
    <w:basedOn w:val="1"/>
    <w:next w:val="1"/>
    <w:qFormat/>
    <w:uiPriority w:val="0"/>
    <w:pPr>
      <w:autoSpaceDE w:val="0"/>
      <w:autoSpaceDN w:val="0"/>
      <w:spacing w:line="480" w:lineRule="atLeast"/>
      <w:jc w:val="left"/>
    </w:pPr>
    <w:rPr>
      <w:rFonts w:hint="eastAsia" w:ascii="宋体" w:cs="Times New Roman"/>
      <w:color w:val="000000"/>
      <w:sz w:val="24"/>
    </w:rPr>
  </w:style>
  <w:style w:type="paragraph" w:customStyle="1" w:styleId="318">
    <w:name w:val="列出段落2"/>
    <w:basedOn w:val="1"/>
    <w:unhideWhenUsed/>
    <w:qFormat/>
    <w:uiPriority w:val="34"/>
    <w:pPr>
      <w:ind w:firstLine="420" w:firstLineChars="200"/>
    </w:pPr>
    <w:rPr>
      <w:rFonts w:cs="Times New Roman"/>
    </w:rPr>
  </w:style>
  <w:style w:type="paragraph" w:customStyle="1" w:styleId="31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0">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sz w:val="32"/>
      <w:lang w:val="en-US" w:eastAsia="zh-CN" w:bidi="ar-SA"/>
    </w:rPr>
  </w:style>
  <w:style w:type="paragraph" w:customStyle="1" w:styleId="32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322">
    <w:name w:val="MH-Spec 5S"/>
    <w:basedOn w:val="1"/>
    <w:qFormat/>
    <w:uiPriority w:val="0"/>
    <w:pPr>
      <w:widowControl/>
      <w:spacing w:beforeLines="100"/>
      <w:ind w:left="992" w:hanging="992"/>
      <w:jc w:val="left"/>
    </w:pPr>
    <w:rPr>
      <w:rFonts w:ascii="Times New Roman" w:hAnsi="Times New Roman" w:cs="Times New Roman"/>
      <w:kern w:val="0"/>
      <w:sz w:val="20"/>
      <w:szCs w:val="20"/>
    </w:rPr>
  </w:style>
  <w:style w:type="paragraph" w:customStyle="1" w:styleId="323">
    <w:name w:val="Char1 Char Char Char1 Char Char Char Char Char Char Char Char Char1"/>
    <w:basedOn w:val="1"/>
    <w:qFormat/>
    <w:uiPriority w:val="0"/>
    <w:pPr>
      <w:spacing w:before="120" w:after="120" w:line="360" w:lineRule="auto"/>
      <w:ind w:firstLine="200" w:firstLineChars="200"/>
    </w:pPr>
    <w:rPr>
      <w:rFonts w:cs="Times New Roman"/>
    </w:rPr>
  </w:style>
  <w:style w:type="paragraph" w:customStyle="1" w:styleId="324">
    <w:name w:val="左缩进2字符"/>
    <w:basedOn w:val="1"/>
    <w:qFormat/>
    <w:uiPriority w:val="0"/>
    <w:pPr>
      <w:ind w:left="200" w:leftChars="200"/>
    </w:pPr>
    <w:rPr>
      <w:rFonts w:ascii="Times New Roman" w:hAnsi="Times New Roman" w:cs="Times New Roman"/>
      <w:szCs w:val="24"/>
    </w:rPr>
  </w:style>
  <w:style w:type="paragraph" w:customStyle="1" w:styleId="325">
    <w:name w:val="规范文本"/>
    <w:basedOn w:val="31"/>
    <w:qFormat/>
    <w:uiPriority w:val="0"/>
    <w:pPr>
      <w:adjustRightInd w:val="0"/>
      <w:snapToGrid w:val="0"/>
      <w:spacing w:line="360" w:lineRule="exact"/>
      <w:ind w:firstLine="420"/>
    </w:pPr>
    <w:rPr>
      <w:snapToGrid w:val="0"/>
    </w:rPr>
  </w:style>
  <w:style w:type="paragraph" w:customStyle="1" w:styleId="326">
    <w:name w:val="注："/>
    <w:next w:val="153"/>
    <w:qFormat/>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sz w:val="21"/>
      <w:lang w:val="en-US" w:eastAsia="zh-CN" w:bidi="ar-SA"/>
    </w:rPr>
  </w:style>
  <w:style w:type="paragraph" w:customStyle="1" w:styleId="327">
    <w:name w:val="样式2"/>
    <w:basedOn w:val="5"/>
    <w:qFormat/>
    <w:uiPriority w:val="0"/>
    <w:pPr>
      <w:widowControl w:val="0"/>
      <w:tabs>
        <w:tab w:val="left" w:pos="360"/>
        <w:tab w:val="clear" w:pos="3229"/>
      </w:tabs>
      <w:spacing w:line="240" w:lineRule="auto"/>
      <w:ind w:left="840" w:firstLine="0"/>
      <w:jc w:val="left"/>
    </w:pPr>
    <w:rPr>
      <w:bCs/>
      <w:spacing w:val="8"/>
      <w:sz w:val="24"/>
    </w:rPr>
  </w:style>
  <w:style w:type="paragraph" w:customStyle="1" w:styleId="328">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18"/>
      <w:szCs w:val="18"/>
    </w:rPr>
  </w:style>
  <w:style w:type="paragraph" w:customStyle="1" w:styleId="329">
    <w:name w:val="样式 标题 3H3h33rd level + Times New Roman 段前: 15.6 磅 行距: 1.5 倍..."/>
    <w:basedOn w:val="6"/>
    <w:qFormat/>
    <w:uiPriority w:val="0"/>
    <w:pPr>
      <w:adjustRightInd/>
      <w:spacing w:before="312" w:line="360" w:lineRule="auto"/>
      <w:ind w:firstLine="0"/>
      <w:textAlignment w:val="auto"/>
    </w:pPr>
    <w:rPr>
      <w:rFonts w:eastAsia="楷体_GB2312" w:cs="宋体"/>
      <w:b/>
      <w:bCs/>
      <w:i w:val="0"/>
      <w:kern w:val="2"/>
    </w:rPr>
  </w:style>
  <w:style w:type="paragraph" w:customStyle="1" w:styleId="330">
    <w:name w:val="Char Char Char Char Char Char Char Char Char Char Char Char Char"/>
    <w:basedOn w:val="1"/>
    <w:qFormat/>
    <w:uiPriority w:val="0"/>
    <w:rPr>
      <w:rFonts w:ascii="仿宋_GB2312" w:hAnsi="Times New Roman" w:eastAsia="仿宋_GB2312" w:cs="Times New Roman"/>
      <w:b/>
      <w:sz w:val="32"/>
      <w:szCs w:val="32"/>
    </w:rPr>
  </w:style>
  <w:style w:type="paragraph" w:customStyle="1" w:styleId="331">
    <w:name w:val="Head 1.2"/>
    <w:basedOn w:val="1"/>
    <w:qFormat/>
    <w:uiPriority w:val="0"/>
    <w:pPr>
      <w:keepNext/>
      <w:keepLines/>
      <w:spacing w:line="440" w:lineRule="exact"/>
      <w:ind w:left="-17"/>
      <w:jc w:val="center"/>
    </w:pPr>
    <w:rPr>
      <w:rFonts w:ascii="黑体" w:hAnsi="Times New Roman" w:eastAsia="黑体" w:cs="Times New Roman"/>
      <w:sz w:val="44"/>
      <w:szCs w:val="30"/>
    </w:rPr>
  </w:style>
  <w:style w:type="paragraph" w:customStyle="1" w:styleId="332">
    <w:name w:val="Char11"/>
    <w:basedOn w:val="1"/>
    <w:qFormat/>
    <w:uiPriority w:val="0"/>
    <w:rPr>
      <w:rFonts w:ascii="Times New Roman" w:hAnsi="Times New Roman" w:cs="Times New Roman"/>
      <w:szCs w:val="20"/>
    </w:rPr>
  </w:style>
  <w:style w:type="paragraph" w:customStyle="1" w:styleId="333">
    <w:name w:val="样式4"/>
    <w:basedOn w:val="6"/>
    <w:qFormat/>
    <w:uiPriority w:val="0"/>
    <w:pPr>
      <w:tabs>
        <w:tab w:val="left" w:pos="360"/>
        <w:tab w:val="left" w:pos="8740"/>
        <w:tab w:val="left" w:pos="9412"/>
      </w:tabs>
      <w:adjustRightInd/>
      <w:spacing w:line="180" w:lineRule="auto"/>
      <w:ind w:left="840" w:firstLine="0"/>
      <w:jc w:val="left"/>
      <w:textAlignment w:val="auto"/>
    </w:pPr>
    <w:rPr>
      <w:rFonts w:ascii="Arial" w:hAnsi="Arial"/>
      <w:i w:val="0"/>
      <w:spacing w:val="8"/>
      <w:kern w:val="2"/>
      <w:sz w:val="28"/>
      <w:shd w:val="clear" w:color="auto" w:fill="FFFFFF"/>
    </w:rPr>
  </w:style>
  <w:style w:type="paragraph" w:customStyle="1" w:styleId="334">
    <w:name w:val="四号线第四级"/>
    <w:basedOn w:val="1"/>
    <w:qFormat/>
    <w:uiPriority w:val="0"/>
    <w:pPr>
      <w:tabs>
        <w:tab w:val="left" w:pos="600"/>
      </w:tabs>
      <w:ind w:left="600" w:hanging="420"/>
    </w:pPr>
    <w:rPr>
      <w:rFonts w:ascii="Times New Roman" w:hAnsi="Times New Roman" w:cs="Times New Roman"/>
      <w:szCs w:val="20"/>
    </w:rPr>
  </w:style>
  <w:style w:type="paragraph" w:customStyle="1" w:styleId="335">
    <w:name w:val="TOC 标题11"/>
    <w:basedOn w:val="2"/>
    <w:next w:val="1"/>
    <w:qFormat/>
    <w:uiPriority w:val="0"/>
    <w:pPr>
      <w:pageBreakBefore/>
      <w:widowControl/>
      <w:spacing w:before="0" w:after="0" w:line="276" w:lineRule="auto"/>
      <w:jc w:val="both"/>
      <w:outlineLvl w:val="9"/>
    </w:pPr>
    <w:rPr>
      <w:rFonts w:ascii="Cambria" w:hAnsi="Cambria"/>
      <w:color w:val="365F91"/>
      <w:kern w:val="0"/>
      <w:sz w:val="28"/>
    </w:rPr>
  </w:style>
  <w:style w:type="paragraph" w:customStyle="1" w:styleId="336">
    <w:name w:val="样式 (中文) 黑体 三号 黑色 行距: 最小值 48 磅"/>
    <w:basedOn w:val="1"/>
    <w:qFormat/>
    <w:uiPriority w:val="0"/>
    <w:pPr>
      <w:spacing w:line="360" w:lineRule="auto"/>
      <w:outlineLvl w:val="0"/>
    </w:pPr>
    <w:rPr>
      <w:rFonts w:ascii="宋体" w:hAnsi="宋体" w:cs="宋体"/>
      <w:b/>
      <w:szCs w:val="21"/>
    </w:rPr>
  </w:style>
  <w:style w:type="paragraph" w:customStyle="1" w:styleId="337">
    <w:name w:val="Char Char Char Char Char Char2 Char"/>
    <w:basedOn w:val="1"/>
    <w:qFormat/>
    <w:uiPriority w:val="0"/>
    <w:pPr>
      <w:spacing w:line="360" w:lineRule="auto"/>
      <w:ind w:firstLine="200" w:firstLineChars="200"/>
    </w:pPr>
    <w:rPr>
      <w:rFonts w:ascii="宋体" w:hAnsi="宋体" w:cs="宋体"/>
      <w:sz w:val="24"/>
      <w:szCs w:val="24"/>
    </w:rPr>
  </w:style>
  <w:style w:type="paragraph" w:customStyle="1" w:styleId="338">
    <w:name w:val="xl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Times New Roman"/>
      <w:color w:val="000000"/>
      <w:kern w:val="0"/>
      <w:sz w:val="18"/>
      <w:szCs w:val="18"/>
    </w:rPr>
  </w:style>
  <w:style w:type="paragraph" w:customStyle="1" w:styleId="339">
    <w:name w:val="默认段落字体 Para Char Char Char Char Char Char Char Char Char Char"/>
    <w:basedOn w:val="1"/>
    <w:qFormat/>
    <w:uiPriority w:val="0"/>
    <w:rPr>
      <w:rFonts w:ascii="Times New Roman" w:hAnsi="Times New Roman" w:cs="Times New Roman"/>
      <w:szCs w:val="24"/>
    </w:rPr>
  </w:style>
  <w:style w:type="paragraph" w:customStyle="1" w:styleId="340">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1">
    <w:name w:val="±íÑùÊ½"/>
    <w:basedOn w:val="1"/>
    <w:qFormat/>
    <w:uiPriority w:val="0"/>
    <w:pPr>
      <w:widowControl/>
      <w:overflowPunct w:val="0"/>
      <w:autoSpaceDE w:val="0"/>
      <w:autoSpaceDN w:val="0"/>
      <w:adjustRightInd w:val="0"/>
      <w:spacing w:before="90" w:after="90"/>
      <w:jc w:val="left"/>
      <w:textAlignment w:val="baseline"/>
    </w:pPr>
    <w:rPr>
      <w:rFonts w:ascii="Arial" w:hAnsi="Arial" w:cs="Times New Roman"/>
      <w:kern w:val="0"/>
      <w:sz w:val="18"/>
      <w:szCs w:val="20"/>
    </w:rPr>
  </w:style>
  <w:style w:type="paragraph" w:customStyle="1" w:styleId="34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Cs/>
      <w:i/>
      <w:iCs/>
      <w:sz w:val="28"/>
      <w:szCs w:val="24"/>
    </w:rPr>
  </w:style>
  <w:style w:type="paragraph" w:customStyle="1" w:styleId="343">
    <w:name w:val="zhw"/>
    <w:basedOn w:val="1"/>
    <w:qFormat/>
    <w:uiPriority w:val="0"/>
    <w:pPr>
      <w:adjustRightInd w:val="0"/>
      <w:jc w:val="left"/>
      <w:textAlignment w:val="baseline"/>
    </w:pPr>
    <w:rPr>
      <w:rFonts w:ascii="Arial" w:hAnsi="Arial" w:eastAsia="Times New Roman" w:cs="Times New Roman"/>
      <w:sz w:val="24"/>
      <w:szCs w:val="20"/>
    </w:rPr>
  </w:style>
  <w:style w:type="paragraph" w:customStyle="1" w:styleId="344">
    <w:name w:val="Char Char Char Char Char Char Char Char Char Char Char Char Char Char Char Char Char Char1 Char Char Char Char1"/>
    <w:basedOn w:val="1"/>
    <w:qFormat/>
    <w:uiPriority w:val="0"/>
    <w:rPr>
      <w:rFonts w:ascii="Times New Roman" w:hAnsi="Times New Roman" w:cs="Times New Roman"/>
      <w:szCs w:val="24"/>
    </w:rPr>
  </w:style>
  <w:style w:type="paragraph" w:customStyle="1" w:styleId="345">
    <w:name w:val="正文文本 32"/>
    <w:basedOn w:val="25"/>
    <w:qFormat/>
    <w:uiPriority w:val="0"/>
    <w:pPr>
      <w:autoSpaceDE w:val="0"/>
      <w:autoSpaceDN w:val="0"/>
      <w:adjustRightInd w:val="0"/>
      <w:ind w:left="360" w:leftChars="0"/>
      <w:jc w:val="left"/>
      <w:textAlignment w:val="baseline"/>
    </w:pPr>
    <w:rPr>
      <w:kern w:val="0"/>
      <w:sz w:val="20"/>
      <w:szCs w:val="20"/>
    </w:rPr>
  </w:style>
  <w:style w:type="paragraph" w:customStyle="1" w:styleId="346">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47">
    <w:name w:val="标书表格"/>
    <w:basedOn w:val="1"/>
    <w:qFormat/>
    <w:uiPriority w:val="0"/>
    <w:pPr>
      <w:widowControl/>
      <w:spacing w:line="360" w:lineRule="atLeast"/>
      <w:jc w:val="center"/>
    </w:pPr>
    <w:rPr>
      <w:rFonts w:ascii="幼圆" w:eastAsia="幼圆" w:cs="Times New Roman"/>
      <w:color w:val="000000"/>
      <w:kern w:val="0"/>
      <w:sz w:val="18"/>
      <w:szCs w:val="21"/>
      <w:lang w:bidi="en-US"/>
    </w:rPr>
  </w:style>
  <w:style w:type="paragraph" w:customStyle="1" w:styleId="348">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bCs/>
      <w:color w:val="000000"/>
      <w:kern w:val="0"/>
      <w:sz w:val="18"/>
      <w:szCs w:val="18"/>
    </w:rPr>
  </w:style>
  <w:style w:type="paragraph" w:customStyle="1" w:styleId="349">
    <w:name w:val="默认段落字体 Para Char Char Char Char Char Char Char"/>
    <w:basedOn w:val="1"/>
    <w:qFormat/>
    <w:uiPriority w:val="0"/>
    <w:pPr>
      <w:tabs>
        <w:tab w:val="left" w:pos="4665"/>
        <w:tab w:val="left" w:pos="8970"/>
      </w:tabs>
      <w:ind w:firstLine="400"/>
    </w:pPr>
    <w:rPr>
      <w:rFonts w:ascii="Times New Roman" w:hAnsi="Times New Roman" w:cs="Times New Roman"/>
      <w:szCs w:val="24"/>
    </w:rPr>
  </w:style>
  <w:style w:type="paragraph" w:customStyle="1" w:styleId="350">
    <w:name w:val="1"/>
    <w:basedOn w:val="1"/>
    <w:next w:val="1"/>
    <w:qFormat/>
    <w:uiPriority w:val="0"/>
    <w:rPr>
      <w:rFonts w:ascii="Times New Roman" w:hAnsi="Times New Roman" w:cs="Times New Roman"/>
      <w:szCs w:val="24"/>
    </w:rPr>
  </w:style>
  <w:style w:type="paragraph" w:customStyle="1" w:styleId="351">
    <w:name w:val="五级条标题"/>
    <w:basedOn w:val="261"/>
    <w:next w:val="153"/>
    <w:qFormat/>
    <w:uiPriority w:val="0"/>
    <w:pPr>
      <w:tabs>
        <w:tab w:val="left" w:pos="1680"/>
        <w:tab w:val="clear" w:pos="1260"/>
      </w:tabs>
      <w:ind w:left="1680"/>
      <w:outlineLvl w:val="6"/>
    </w:pPr>
  </w:style>
  <w:style w:type="paragraph" w:customStyle="1" w:styleId="352">
    <w:name w:val="表格4"/>
    <w:basedOn w:val="1"/>
    <w:qFormat/>
    <w:uiPriority w:val="0"/>
    <w:pPr>
      <w:adjustRightInd w:val="0"/>
      <w:spacing w:line="420" w:lineRule="atLeast"/>
      <w:ind w:left="1021"/>
      <w:textAlignment w:val="baseline"/>
    </w:pPr>
    <w:rPr>
      <w:rFonts w:ascii="Times New Roman" w:hAnsi="Times New Roman" w:cs="Times New Roman"/>
      <w:kern w:val="0"/>
      <w:szCs w:val="20"/>
    </w:rPr>
  </w:style>
  <w:style w:type="paragraph" w:customStyle="1" w:styleId="353">
    <w:name w:val="Char Char Char1"/>
    <w:basedOn w:val="1"/>
    <w:qFormat/>
    <w:uiPriority w:val="0"/>
    <w:rPr>
      <w:rFonts w:ascii="Tahoma" w:hAnsi="Tahoma" w:cs="Times New Roman"/>
      <w:sz w:val="24"/>
      <w:szCs w:val="20"/>
    </w:rPr>
  </w:style>
  <w:style w:type="paragraph" w:customStyle="1" w:styleId="354">
    <w:name w:val="样式 标题 3 + (中文) 黑体 小四 非加粗 段前: 7.8 磅 段后: 0 磅 行距: 固定值 20 磅"/>
    <w:basedOn w:val="5"/>
    <w:qFormat/>
    <w:uiPriority w:val="0"/>
    <w:pPr>
      <w:widowControl w:val="0"/>
      <w:spacing w:before="0" w:after="0" w:line="400" w:lineRule="exact"/>
      <w:ind w:left="0" w:firstLine="0"/>
      <w:jc w:val="both"/>
    </w:pPr>
    <w:rPr>
      <w:rFonts w:eastAsia="黑体" w:cs="宋体"/>
      <w:b w:val="0"/>
      <w:sz w:val="24"/>
    </w:rPr>
  </w:style>
  <w:style w:type="paragraph" w:customStyle="1" w:styleId="355">
    <w:name w:val="MH-Spec 7S"/>
    <w:basedOn w:val="1"/>
    <w:qFormat/>
    <w:uiPriority w:val="0"/>
    <w:pPr>
      <w:widowControl/>
      <w:tabs>
        <w:tab w:val="left" w:pos="1701"/>
      </w:tabs>
      <w:spacing w:beforeLines="100" w:after="312"/>
      <w:ind w:left="1701" w:right="200" w:rightChars="100" w:hanging="567"/>
      <w:jc w:val="left"/>
    </w:pPr>
    <w:rPr>
      <w:rFonts w:cs="Times New Roman"/>
      <w:kern w:val="0"/>
      <w:sz w:val="22"/>
      <w:szCs w:val="20"/>
      <w:lang w:bidi="en-US"/>
    </w:rPr>
  </w:style>
  <w:style w:type="paragraph" w:customStyle="1" w:styleId="356">
    <w:name w:val="表格"/>
    <w:basedOn w:val="1"/>
    <w:qFormat/>
    <w:uiPriority w:val="0"/>
    <w:pPr>
      <w:jc w:val="center"/>
      <w:textAlignment w:val="center"/>
    </w:pPr>
    <w:rPr>
      <w:rFonts w:ascii="华文细黑" w:hAnsi="华文细黑" w:cs="Times New Roman"/>
      <w:kern w:val="0"/>
      <w:szCs w:val="20"/>
    </w:rPr>
  </w:style>
  <w:style w:type="paragraph" w:customStyle="1" w:styleId="357">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8">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cs="Times New Roman"/>
      <w:kern w:val="0"/>
      <w:sz w:val="24"/>
      <w:szCs w:val="24"/>
    </w:rPr>
  </w:style>
  <w:style w:type="table" w:customStyle="1" w:styleId="359">
    <w:name w:val="网格型1"/>
    <w:basedOn w:val="63"/>
    <w:qFormat/>
    <w:uiPriority w:val="59"/>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360">
    <w:name w:val="标题 2 Char"/>
    <w:qFormat/>
    <w:uiPriority w:val="0"/>
    <w:rPr>
      <w:rFonts w:ascii="宋体" w:hAnsi="宋体" w:eastAsia="黑体"/>
      <w:bCs/>
      <w:i/>
      <w:iCs/>
      <w:kern w:val="2"/>
      <w:sz w:val="24"/>
      <w:lang w:val="en-US" w:eastAsia="zh-CN"/>
    </w:rPr>
  </w:style>
  <w:style w:type="character" w:customStyle="1" w:styleId="361">
    <w:name w:val="标题 4 Char"/>
    <w:qFormat/>
    <w:uiPriority w:val="0"/>
    <w:rPr>
      <w:i/>
      <w:sz w:val="21"/>
    </w:rPr>
  </w:style>
  <w:style w:type="paragraph" w:customStyle="1" w:styleId="362">
    <w:name w:val="正文 New New New New"/>
    <w:qFormat/>
    <w:uiPriority w:val="0"/>
    <w:pPr>
      <w:jc w:val="both"/>
    </w:pPr>
    <w:rPr>
      <w:rFonts w:ascii="Times New Roman" w:hAnsi="Times New Roman" w:eastAsia="宋体" w:cs="Times New Roman"/>
      <w:kern w:val="2"/>
      <w:sz w:val="21"/>
      <w:lang w:val="en-US" w:eastAsia="zh-CN" w:bidi="ar-SA"/>
    </w:rPr>
  </w:style>
  <w:style w:type="paragraph" w:styleId="363">
    <w:name w:val="List Paragraph"/>
    <w:basedOn w:val="1"/>
    <w:qFormat/>
    <w:uiPriority w:val="99"/>
    <w:pPr>
      <w:ind w:firstLine="420" w:firstLineChars="200"/>
    </w:pPr>
  </w:style>
  <w:style w:type="character" w:customStyle="1" w:styleId="364">
    <w:name w:val="bluetxt1"/>
    <w:basedOn w:val="6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42</Pages>
  <Words>22096</Words>
  <Characters>25196</Characters>
  <Lines>139</Lines>
  <Paragraphs>39</Paragraphs>
  <TotalTime>1</TotalTime>
  <ScaleCrop>false</ScaleCrop>
  <LinksUpToDate>false</LinksUpToDate>
  <CharactersWithSpaces>25912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2023-01-15T02:22:00Z</dcterms:created>
  <dc:creator>综合事务部</dc:creator>
  <cp:lastModifiedBy>WPS_1620615637</cp:lastModifiedBy>
  <dcterms:modified xsi:type="dcterms:W3CDTF">2025-04-23T06:09:01Z</dcterms:modified>
  <dc:title>S11芜黄高速公路机电工程</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76232ED5C97142E59E18753E34170361</vt:lpwstr>
  </property>
</Properties>
</file>